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autoSpaceDN w:val="0"/>
        <w:spacing w:line="360" w:lineRule="auto"/>
        <w:jc w:val="right"/>
        <w:outlineLvl w:val="0"/>
        <w:rPr>
          <w:rFonts w:eastAsia="方正小标宋简体"/>
          <w:color w:val="000000"/>
          <w:sz w:val="72"/>
          <w:szCs w:val="72"/>
        </w:rPr>
      </w:pPr>
    </w:p>
    <w:p>
      <w:pPr>
        <w:autoSpaceDN w:val="0"/>
        <w:spacing w:line="360" w:lineRule="auto"/>
        <w:jc w:val="center"/>
        <w:outlineLvl w:val="0"/>
        <w:rPr>
          <w:rFonts w:eastAsia="方正小标宋简体"/>
          <w:color w:val="000000"/>
          <w:sz w:val="72"/>
          <w:szCs w:val="72"/>
        </w:rPr>
      </w:pPr>
    </w:p>
    <w:p>
      <w:pPr>
        <w:autoSpaceDN w:val="0"/>
        <w:spacing w:line="360" w:lineRule="auto"/>
        <w:jc w:val="center"/>
        <w:outlineLvl w:val="0"/>
        <w:rPr>
          <w:rFonts w:eastAsia="方正小标宋简体"/>
          <w:color w:val="000000"/>
          <w:sz w:val="72"/>
          <w:szCs w:val="72"/>
        </w:rPr>
      </w:pPr>
    </w:p>
    <w:p>
      <w:pPr>
        <w:autoSpaceDN w:val="0"/>
        <w:spacing w:line="360" w:lineRule="auto"/>
        <w:jc w:val="center"/>
        <w:outlineLvl w:val="0"/>
        <w:rPr>
          <w:rFonts w:eastAsia="方正小标宋简体"/>
          <w:color w:val="000000"/>
          <w:sz w:val="72"/>
          <w:szCs w:val="72"/>
        </w:rPr>
      </w:pPr>
    </w:p>
    <w:p>
      <w:pPr>
        <w:autoSpaceDN w:val="0"/>
        <w:spacing w:line="360" w:lineRule="auto"/>
        <w:jc w:val="center"/>
        <w:outlineLvl w:val="0"/>
        <w:rPr>
          <w:rFonts w:eastAsia="方正小标宋简体"/>
          <w:color w:val="000000"/>
          <w:sz w:val="72"/>
          <w:szCs w:val="72"/>
        </w:rPr>
      </w:pPr>
      <w:r>
        <w:rPr>
          <w:rFonts w:eastAsia="黑体"/>
          <w:color w:val="000000"/>
          <w:sz w:val="72"/>
          <w:szCs w:val="72"/>
        </w:rPr>
        <w:t>20</w:t>
      </w:r>
      <w:r>
        <w:rPr>
          <w:rFonts w:eastAsia="黑体" w:hint="eastAsia"/>
          <w:color w:val="000000"/>
          <w:sz w:val="72"/>
          <w:szCs w:val="72"/>
        </w:rPr>
        <w:t>20</w:t>
      </w:r>
      <w:r>
        <w:rPr>
          <w:rFonts w:eastAsia="方正小标宋简体" w:hint="eastAsia"/>
          <w:color w:val="000000"/>
          <w:sz w:val="72"/>
          <w:szCs w:val="72"/>
        </w:rPr>
        <w:t>年度</w:t>
      </w:r>
    </w:p>
    <w:p>
      <w:pPr>
        <w:autoSpaceDN w:val="0"/>
        <w:spacing w:line="360" w:lineRule="auto"/>
        <w:jc w:val="center"/>
        <w:outlineLvl w:val="0"/>
        <w:rPr>
          <w:rFonts w:eastAsia="方正小标宋简体"/>
          <w:color w:val="000000"/>
          <w:sz w:val="66"/>
          <w:szCs w:val="66"/>
        </w:rPr>
      </w:pPr>
      <w:r>
        <w:rPr>
          <w:rFonts w:eastAsia="方正小标宋简体" w:hint="eastAsia"/>
          <w:color w:val="000000"/>
          <w:sz w:val="66"/>
          <w:szCs w:val="66"/>
        </w:rPr>
        <w:t>四川省攀枝花市城市管理行政执法局（本级）部门决算</w:t>
      </w:r>
    </w:p>
    <w:p>
      <w:pPr>
        <w:widowControl/>
        <w:autoSpaceDN w:val="0"/>
        <w:spacing w:line="360" w:lineRule="auto"/>
        <w:jc w:val="center"/>
        <w:rPr>
          <w:rFonts w:eastAsia="黑体"/>
          <w:color w:val="000000"/>
          <w:sz w:val="48"/>
          <w:szCs w:val="48"/>
        </w:rPr>
      </w:pPr>
      <w:r>
        <w:rPr>
          <w:rFonts w:eastAsia="方正小标宋简体"/>
          <w:color w:val="000000"/>
          <w:sz w:val="36"/>
          <w:szCs w:val="36"/>
        </w:rPr>
        <w:br w:type="page"/>
      </w:r>
      <w:r>
        <w:rPr>
          <w:rFonts w:eastAsia="黑体" w:hint="eastAsia"/>
          <w:color w:val="000000"/>
          <w:sz w:val="48"/>
          <w:szCs w:val="48"/>
        </w:rPr>
        <w:t>目录</w:t>
      </w:r>
    </w:p>
    <w:p>
      <w:pPr>
        <w:widowControl/>
        <w:autoSpaceDN w:val="0"/>
        <w:spacing w:line="360" w:lineRule="auto"/>
        <w:jc w:val="center"/>
        <w:rPr>
          <w:rFonts w:eastAsia="黑体"/>
          <w:sz w:val="28"/>
          <w:szCs w:val="28"/>
        </w:rPr>
      </w:pPr>
    </w:p>
    <w:p>
      <w:pPr>
        <w:pStyle w:val="20"/>
        <w:tabs>
          <w:tab w:val="right" w:leader="dot" w:pos="8296"/>
        </w:tabs>
        <w:autoSpaceDN w:val="0"/>
        <w:spacing w:line="360" w:lineRule="auto"/>
        <w:jc w:val="center"/>
        <w:rPr>
          <w:rFonts w:ascii="仿宋_GB2312" w:eastAsia="仿宋_GB2312"/>
          <w:sz w:val="32"/>
          <w:szCs w:val="32"/>
        </w:rPr>
      </w:pPr>
      <w:r>
        <w:rPr>
          <w:rFonts w:ascii="仿宋_GB2312" w:eastAsia="仿宋_GB2312" w:hint="eastAsia"/>
          <w:sz w:val="32"/>
          <w:szCs w:val="32"/>
        </w:rPr>
        <w:t>公开时间：2021年 9 月16日</w:t>
      </w:r>
    </w:p>
    <w:p>
      <w:pPr>
        <w:autoSpaceDN w:val="0"/>
        <w:spacing w:line="360" w:lineRule="auto"/>
        <w:rPr>
          <w:szCs w:val="21"/>
        </w:rPr>
      </w:pPr>
    </w:p>
    <w:p>
      <w:pPr>
        <w:pStyle w:val="19"/>
        <w:keepNext w:val="0"/>
        <w:keepLines w:val="0"/>
        <w:pageBreakBefore w:val="0"/>
        <w:widowControl w:val="0"/>
        <w:suppressLineNumbers w:val="0"/>
        <w:pBdr>
          <w:top w:val="none" w:sz="0" w:space="0" w:color="auto"/>
          <w:left w:val="none" w:sz="0" w:space="0" w:color="auto"/>
          <w:bottom w:val="none" w:sz="0" w:space="0" w:color="auto"/>
          <w:right w:val="none" w:sz="0" w:space="0" w:color="auto"/>
        </w:pBdr>
        <w:tabs>
          <w:tab w:val="right" w:leader="dot" w:pos="8296"/>
        </w:tabs>
        <w:suppressAutoHyphens w:val="0"/>
        <w:kinsoku/>
        <w:wordWrap/>
        <w:overflowPunct/>
        <w:topLinePunct w:val="0"/>
        <w:autoSpaceDE/>
        <w:autoSpaceDN/>
        <w:adjustRightInd/>
        <w:snapToGrid/>
        <w:spacing w:before="0" w:line="360" w:lineRule="auto"/>
        <w:ind w:left="0" w:firstLine="0"/>
        <w:contextualSpacing w:val="0"/>
        <w:jc w:val="left"/>
      </w:pPr>
      <w:r>
        <w:rPr>
          <w:rStyle w:val="15"/>
          <w:rFonts w:ascii="仿宋_GB2312" w:eastAsia="仿宋_GB2312" w:hint="eastAsia"/>
          <w:color w:val="auto"/>
          <w:sz w:val="32"/>
          <w:szCs w:val="32"/>
          <w:u w:val="none"/>
        </w:rPr>
        <w:fldChar w:fldCharType="begin"/>
      </w:r>
      <w:r>
        <w:instrText>HYPERLINK  \l "_第一部分_部门概况#_第一部分_部门概况"</w:instrText>
      </w:r>
      <w:r>
        <w:rPr>
          <w:rStyle w:val="15"/>
          <w:rFonts w:ascii="仿宋_GB2312" w:eastAsia="仿宋_GB2312" w:hint="eastAsia"/>
          <w:color w:val="auto"/>
          <w:sz w:val="32"/>
          <w:szCs w:val="32"/>
          <w:u w:val="none"/>
        </w:rPr>
        <w:fldChar w:fldCharType="separate"/>
      </w:r>
      <w:r>
        <w:rPr>
          <w:rStyle w:val="15"/>
          <w:rFonts w:ascii="仿宋_GB2312" w:eastAsia="仿宋_GB2312" w:hint="eastAsia"/>
          <w:color w:val="auto"/>
          <w:sz w:val="32"/>
          <w:szCs w:val="32"/>
          <w:u w:val="none"/>
        </w:rPr>
        <w:t>第一部分 部门概况</w:t>
      </w:r>
      <w:r>
        <w:rPr>
          <w:rFonts w:ascii="仿宋_GB2312" w:eastAsia="仿宋_GB2312"/>
          <w:color w:val="auto"/>
          <w:sz w:val="32"/>
          <w:szCs w:val="32"/>
          <w:u w:val="none"/>
        </w:rPr>
        <w:fldChar w:fldCharType="end"/>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4</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一、基本职能及主要工作</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4</w:t>
      </w:r>
    </w:p>
    <w:p>
      <w:pPr>
        <w:pStyle w:val="20"/>
        <w:tabs>
          <w:tab w:val="right" w:leader="dot" w:pos="8296"/>
        </w:tabs>
        <w:autoSpaceDN w:val="0"/>
        <w:spacing w:line="360" w:lineRule="auto"/>
        <w:ind w:leftChars="0" w:left="0"/>
        <w:jc w:val="left"/>
        <w:rPr>
          <w:rFonts w:eastAsia="仿宋"/>
          <w:sz w:val="24"/>
        </w:rPr>
      </w:pPr>
      <w:r>
        <w:rPr>
          <w:rFonts w:ascii="仿宋_GB2312" w:eastAsia="仿宋_GB2312" w:hint="eastAsia"/>
          <w:sz w:val="32"/>
          <w:szCs w:val="32"/>
        </w:rPr>
        <w:t>二、机构设置</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5</w:t>
      </w:r>
    </w:p>
    <w:p>
      <w:pPr>
        <w:pStyle w:val="20"/>
        <w:tabs>
          <w:tab w:val="right" w:leader="dot" w:pos="8296"/>
        </w:tabs>
        <w:autoSpaceDN w:val="0"/>
        <w:spacing w:line="360" w:lineRule="auto"/>
        <w:ind w:leftChars="0" w:left="0"/>
        <w:jc w:val="left"/>
        <w:rPr>
          <w:rFonts w:ascii="仿宋_GB2312" w:eastAsia="仿宋_GB2312"/>
          <w:sz w:val="32"/>
          <w:szCs w:val="32"/>
        </w:rPr>
      </w:pPr>
      <w:r>
        <w:rPr>
          <w:rStyle w:val="15"/>
          <w:rFonts w:ascii="仿宋_GB2312" w:eastAsia="仿宋_GB2312" w:hint="eastAsia"/>
          <w:color w:val="auto"/>
          <w:sz w:val="32"/>
          <w:szCs w:val="32"/>
          <w:u w:val="none"/>
        </w:rPr>
        <w:fldChar w:fldCharType="begin"/>
      </w:r>
      <w:r>
        <w:instrText>HYPERLINK  \l "_第二部分_2019年度部门决算情况说明#_第二部分_2019年度部门决算情况"</w:instrText>
      </w:r>
      <w:r>
        <w:rPr>
          <w:rStyle w:val="15"/>
          <w:rFonts w:ascii="仿宋_GB2312" w:eastAsia="仿宋_GB2312" w:hint="eastAsia"/>
          <w:color w:val="auto"/>
          <w:sz w:val="32"/>
          <w:szCs w:val="32"/>
          <w:u w:val="none"/>
        </w:rPr>
        <w:fldChar w:fldCharType="separate"/>
      </w:r>
      <w:r>
        <w:rPr>
          <w:rStyle w:val="15"/>
          <w:rFonts w:ascii="仿宋_GB2312" w:eastAsia="仿宋_GB2312" w:hint="eastAsia"/>
          <w:color w:val="auto"/>
          <w:sz w:val="32"/>
          <w:szCs w:val="32"/>
          <w:u w:val="none"/>
        </w:rPr>
        <w:t>第二部分 部门决算情况说明</w:t>
      </w:r>
      <w:r>
        <w:rPr>
          <w:rFonts w:ascii="仿宋_GB2312" w:eastAsia="仿宋_GB2312"/>
          <w:color w:val="auto"/>
          <w:sz w:val="32"/>
          <w:szCs w:val="32"/>
          <w:u w:val="none"/>
        </w:rPr>
        <w:fldChar w:fldCharType="end"/>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5</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一、收入支出决算总体情况说明………………………</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5</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二、收入决算情况说明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6</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sz w:val="32"/>
          <w:szCs w:val="32"/>
        </w:rPr>
        <w:t>三、支出决算情况说明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6</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四、财政拨款收入支出决算总体情况说明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7</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五、一般公共预算财政拨款支出决算情况说明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7</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六、一般公共预算财政拨款基本支出决算情况说明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9</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七、“三公”经费财政拨款支出决算情况说明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10</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八、政府性基金预算支出决算情况说明…………</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12</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九、 国有资本经营预算支出决算情况说明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12</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sz w:val="32"/>
          <w:szCs w:val="32"/>
        </w:rPr>
        <w:t>十、其他重要事项的情况说明</w:t>
      </w:r>
      <w:r>
        <w:rPr>
          <w:rFonts w:ascii="仿宋_GB2312" w:eastAsia="仿宋_GB2312"/>
          <w:color w:val="auto"/>
          <w:sz w:val="32"/>
          <w:szCs w:val="32"/>
          <w:u w:val="none"/>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12</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第三部分 名词解释………………………………………</w:t>
      </w:r>
      <w:r>
        <w:rPr>
          <w:rFonts w:ascii="仿宋_GB2312" w:eastAsia="仿宋_GB2312"/>
          <w:sz w:val="32"/>
          <w:szCs w:val="32"/>
        </w:rPr>
        <w:t>……</w:t>
      </w:r>
      <w:r>
        <w:rPr>
          <w:rFonts w:ascii="仿宋_GB2312" w:eastAsia="仿宋_GB2312" w:hint="eastAsia"/>
          <w:sz w:val="32"/>
          <w:szCs w:val="32"/>
        </w:rPr>
        <w:t>1</w:t>
      </w:r>
      <w:r>
        <w:rPr>
          <w:rFonts w:ascii="仿宋_GB2312" w:eastAsia="仿宋_GB2312"/>
          <w:sz w:val="32"/>
          <w:szCs w:val="32"/>
        </w:rPr>
        <w:t>8</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第四部分 附件……………………………………………</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2</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2</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附件2……………………………………….……………</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6</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第五部分 附表……………………………………………</w:t>
      </w:r>
      <w:r>
        <w:rPr>
          <w:rFonts w:ascii="仿宋_GB2312" w:eastAsia="仿宋_GB2312"/>
          <w:sz w:val="32"/>
          <w:szCs w:val="32"/>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一、收入支出决算总表…………………………………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二、收入决算表…………………………………………</w:t>
      </w:r>
      <w:r>
        <w:rPr>
          <w:rFonts w:ascii="仿宋_GB2312" w:eastAsia="仿宋_GB2312"/>
          <w:sz w:val="32"/>
          <w:szCs w:val="32"/>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三、支出决算表…………………………………………</w:t>
      </w:r>
      <w:r>
        <w:rPr>
          <w:rFonts w:ascii="仿宋_GB2312" w:eastAsia="仿宋_GB2312"/>
          <w:sz w:val="32"/>
          <w:szCs w:val="32"/>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四、财政拨款收入支出决算总表………………………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五、财政拨款支出决算明细表…………………………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六、一般公共预算财政拨款支出决算表</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七、一般公共预算财政拨款支出决算明细表…………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八、一般公共预算财政拨款基本支出决算表…………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九、一般公共预算财政拨款项目支出决算表…………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十、一般公共预算财政拨款“三公”经费支出决算表</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十一、政府性基金预算财政拨款收入支出决算表……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28"/>
          <w:szCs w:val="32"/>
        </w:rPr>
      </w:pPr>
      <w:r>
        <w:rPr>
          <w:rFonts w:ascii="仿宋_GB2312" w:eastAsia="仿宋_GB2312" w:hint="eastAsia"/>
          <w:sz w:val="32"/>
          <w:szCs w:val="32"/>
        </w:rPr>
        <w:t>十二、</w:t>
      </w:r>
      <w:r>
        <w:rPr>
          <w:rFonts w:ascii="仿宋_GB2312" w:eastAsia="仿宋_GB2312" w:hint="eastAsia"/>
          <w:sz w:val="28"/>
          <w:szCs w:val="32"/>
        </w:rPr>
        <w:t>政府性基金预算财政拨款“三公”经费支出决算表…</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十三、国有资本经营预算财政拨款收入支出决算表…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pStyle w:val="20"/>
        <w:tabs>
          <w:tab w:val="right" w:leader="dot" w:pos="8296"/>
        </w:tabs>
        <w:autoSpaceDN w:val="0"/>
        <w:spacing w:line="360" w:lineRule="auto"/>
        <w:ind w:leftChars="0" w:left="0"/>
        <w:jc w:val="left"/>
        <w:rPr>
          <w:rFonts w:ascii="仿宋_GB2312" w:eastAsia="仿宋_GB2312"/>
          <w:sz w:val="32"/>
          <w:szCs w:val="32"/>
        </w:rPr>
      </w:pPr>
      <w:r>
        <w:rPr>
          <w:rFonts w:ascii="仿宋_GB2312" w:eastAsia="仿宋_GB2312" w:hint="eastAsia"/>
          <w:sz w:val="32"/>
          <w:szCs w:val="32"/>
        </w:rPr>
        <w:t>十四、国有资本经营预算财政拨款支出决算表………</w:t>
      </w:r>
      <w:r>
        <w:rPr>
          <w:rFonts w:ascii="仿宋_GB2312" w:eastAsia="仿宋_GB2312"/>
          <w:sz w:val="32"/>
          <w:szCs w:val="32"/>
        </w:rPr>
        <w:t>…</w:t>
      </w:r>
      <w:r>
        <w:rPr>
          <w:rFonts w:ascii="仿宋_GB2312" w:eastAsia="仿宋_GB2312" w:hint="eastAsia"/>
          <w:caps w:val="0"/>
          <w:smallCaps w:val="0"/>
          <w:snapToGrid/>
          <w:color w:val="auto"/>
          <w:sz w:val="32"/>
          <w:szCs w:val="32"/>
          <w:vertAlign w:val="baseline"/>
        </w:rPr>
        <w:t>…</w:t>
      </w:r>
      <w:r>
        <w:rPr>
          <w:rFonts w:ascii="仿宋_GB2312" w:eastAsia="仿宋_GB2312" w:hint="eastAsia"/>
          <w:sz w:val="32"/>
          <w:szCs w:val="32"/>
        </w:rPr>
        <w:t>31</w:t>
      </w:r>
    </w:p>
    <w:p>
      <w:pPr>
        <w:widowControl/>
        <w:autoSpaceDN w:val="0"/>
        <w:spacing w:line="360" w:lineRule="auto"/>
        <w:jc w:val="center"/>
        <w:rPr>
          <w:rStyle w:val="22"/>
          <w:rFonts w:eastAsia="黑体"/>
          <w:sz w:val="44"/>
          <w:szCs w:val="44"/>
        </w:rPr>
      </w:pPr>
      <w:r>
        <w:rPr>
          <w:rFonts w:eastAsia="仿宋"/>
          <w:sz w:val="24"/>
        </w:rPr>
        <w:br w:type="page"/>
      </w:r>
      <w:r>
        <w:rPr>
          <w:rStyle w:val="22"/>
          <w:rFonts w:eastAsia="黑体" w:hint="eastAsia"/>
          <w:sz w:val="44"/>
          <w:szCs w:val="44"/>
        </w:rPr>
        <w:t>第一部分</w:t>
      </w:r>
      <w:r>
        <w:rPr>
          <w:rStyle w:val="22"/>
          <w:rFonts w:eastAsia="黑体"/>
          <w:sz w:val="44"/>
          <w:szCs w:val="44"/>
        </w:rPr>
        <w:t xml:space="preserve"> </w:t>
      </w:r>
      <w:r>
        <w:rPr>
          <w:rStyle w:val="22"/>
          <w:rFonts w:eastAsia="黑体" w:hint="eastAsia"/>
          <w:sz w:val="44"/>
          <w:szCs w:val="44"/>
        </w:rPr>
        <w:t>部门概况</w:t>
      </w:r>
    </w:p>
    <w:p>
      <w:pPr>
        <w:pStyle w:val="2"/>
        <w:autoSpaceDN w:val="0"/>
        <w:spacing w:before="0" w:after="0" w:line="360" w:lineRule="auto"/>
        <w:ind w:firstLineChars="200" w:firstLine="640"/>
        <w:rPr>
          <w:rFonts w:ascii="Times New Roman" w:hAnsi="Times New Roman"/>
          <w:b w:val="0"/>
          <w:bCs w:val="0"/>
          <w:color w:val="000000"/>
        </w:rPr>
      </w:pPr>
    </w:p>
    <w:p>
      <w:pPr>
        <w:pStyle w:val="2"/>
        <w:autoSpaceDN w:val="0"/>
        <w:spacing w:before="0" w:after="0" w:line="360" w:lineRule="auto"/>
        <w:ind w:firstLineChars="200" w:firstLine="640"/>
        <w:rPr>
          <w:rStyle w:val="23"/>
          <w:rFonts w:eastAsia="仿宋" w:cs="Times New Roman"/>
        </w:rPr>
      </w:pPr>
      <w:bookmarkStart w:id="0" w:name="_一、基本职能及主要工作"/>
      <w:bookmarkEnd w:id="0"/>
      <w:r>
        <w:rPr>
          <w:rFonts w:ascii="Times New Roman" w:eastAsia="黑体" w:hAnsi="Times New Roman" w:hint="eastAsia"/>
          <w:b w:val="0"/>
          <w:bCs w:val="0"/>
          <w:color w:val="000000"/>
        </w:rPr>
        <w:t>一、基</w:t>
      </w:r>
      <w:r>
        <w:rPr>
          <w:rStyle w:val="23"/>
          <w:rFonts w:ascii="Times New Roman" w:eastAsia="黑体" w:hAnsi="Times New Roman" w:hint="eastAsia"/>
        </w:rPr>
        <w:t>本职能及主要工作</w:t>
      </w:r>
    </w:p>
    <w:p>
      <w:pPr>
        <w:autoSpaceDN w:val="0"/>
        <w:spacing w:line="360" w:lineRule="auto"/>
        <w:ind w:firstLineChars="200" w:firstLine="640"/>
        <w:outlineLvl w:val="2"/>
        <w:rPr>
          <w:b/>
          <w:bCs/>
          <w:color w:val="000000"/>
          <w:sz w:val="32"/>
          <w:szCs w:val="32"/>
        </w:rPr>
      </w:pPr>
      <w:r>
        <w:rPr>
          <w:rFonts w:eastAsia="仿宋" w:hint="eastAsia"/>
          <w:b/>
          <w:bCs/>
          <w:color w:val="000000"/>
          <w:sz w:val="32"/>
          <w:szCs w:val="32"/>
        </w:rPr>
        <w:t>（一）主要职能。</w:t>
      </w:r>
    </w:p>
    <w:p>
      <w:pPr>
        <w:pStyle w:val="18"/>
        <w:autoSpaceDN w:val="0"/>
        <w:spacing w:beforeLines="0" w:before="0" w:line="360" w:lineRule="auto"/>
        <w:ind w:firstLineChars="208" w:firstLine="665"/>
        <w:outlineLvl w:val="2"/>
        <w:rPr>
          <w:sz w:val="32"/>
          <w:szCs w:val="32"/>
        </w:rPr>
      </w:pPr>
      <w:r>
        <w:rPr>
          <w:rFonts w:hint="eastAsia"/>
          <w:sz w:val="32"/>
          <w:szCs w:val="32"/>
        </w:rPr>
        <w:t>攀枝花市城市管理行政执法局负责城市管理的行政执法、行政复议工作，集中行使市容环境卫生管理、城市绿化管理、公用事业管理方面法律、法规、规章规定的综合管理工作及行政处罚权。</w:t>
      </w:r>
    </w:p>
    <w:p>
      <w:pPr>
        <w:autoSpaceDN w:val="0"/>
        <w:spacing w:line="360" w:lineRule="auto"/>
        <w:ind w:firstLineChars="200" w:firstLine="640"/>
        <w:outlineLvl w:val="2"/>
        <w:rPr>
          <w:rFonts w:eastAsia="仿宋"/>
          <w:b/>
          <w:bCs/>
          <w:color w:val="000000"/>
          <w:sz w:val="32"/>
          <w:szCs w:val="32"/>
        </w:rPr>
      </w:pPr>
      <w:r>
        <w:rPr>
          <w:rFonts w:eastAsia="仿宋" w:hint="eastAsia"/>
          <w:b/>
          <w:bCs/>
          <w:color w:val="000000"/>
          <w:sz w:val="32"/>
          <w:szCs w:val="32"/>
        </w:rPr>
        <w:t>（二）</w:t>
      </w:r>
      <w:r>
        <w:rPr>
          <w:rFonts w:eastAsia="仿宋"/>
          <w:b/>
          <w:bCs/>
          <w:color w:val="000000"/>
          <w:sz w:val="32"/>
          <w:szCs w:val="32"/>
        </w:rPr>
        <w:t>2020</w:t>
      </w:r>
      <w:r>
        <w:rPr>
          <w:rFonts w:eastAsia="仿宋" w:hint="eastAsia"/>
          <w:b/>
          <w:bCs/>
          <w:color w:val="000000"/>
          <w:sz w:val="32"/>
          <w:szCs w:val="32"/>
        </w:rPr>
        <w:t>年重点工作完成情况。</w:t>
      </w:r>
    </w:p>
    <w:p>
      <w:pPr>
        <w:autoSpaceDN w:val="0"/>
        <w:spacing w:line="360" w:lineRule="auto"/>
        <w:ind w:firstLineChars="200" w:firstLine="640"/>
        <w:rPr>
          <w:rFonts w:eastAsia="仿宋_GB2312"/>
          <w:sz w:val="32"/>
          <w:szCs w:val="32"/>
        </w:rPr>
      </w:pPr>
      <w:r>
        <w:rPr>
          <w:rFonts w:eastAsia="仿宋_GB2312"/>
          <w:sz w:val="32"/>
          <w:szCs w:val="32"/>
        </w:rPr>
        <w:t>2020</w:t>
      </w:r>
      <w:r>
        <w:rPr>
          <w:rFonts w:eastAsia="仿宋_GB2312" w:hint="eastAsia"/>
          <w:sz w:val="32"/>
          <w:szCs w:val="32"/>
        </w:rPr>
        <w:t>年，攀枝花市城市管理行政执法局在市委、市政府的正确领导下，</w:t>
      </w:r>
      <w:r>
        <w:rPr>
          <w:rFonts w:eastAsia="仿宋_GB2312"/>
          <w:sz w:val="32"/>
          <w:szCs w:val="32"/>
        </w:rPr>
        <w:t>深入贯彻落实省、市关于综合行政执法体制改革要求，高效对接省、市相关部门，周密部署、抓住关键环节，细化工作举措，按期完成原市城管支队、市规建支队和市煤气总公司机构职能划转、人员转隶定岗、工作交接等工作，实现平稳过渡并高效运转。瞄准设施短板和硬件瓶颈，强力推进生活垃圾设施、城市燃气管网和入户燃气设施建设，打通制约城市发展的硬件瓶颈。升级建设城市综合运行管理和民生政务服务平台，加快数字城管平台与12345市民热线平台的技术融合，加速公园绿地、城市绿地建设</w:t>
      </w:r>
      <w:r>
        <w:rPr>
          <w:rFonts w:eastAsia="仿宋_GB2312" w:hint="eastAsia"/>
          <w:sz w:val="32"/>
          <w:szCs w:val="32"/>
        </w:rPr>
        <w:t>，</w:t>
      </w:r>
      <w:r>
        <w:rPr>
          <w:rFonts w:eastAsia="仿宋_GB2312"/>
          <w:sz w:val="32"/>
          <w:szCs w:val="32"/>
        </w:rPr>
        <w:t>加强城市精细化管理，以城市乱象整治，普速铁路沿线安全环境整治，全力保障康养论坛顺利召开，生活垃圾分类工作为抓手，不断提升城市形象品味。主动做好城市管理领域</w:t>
      </w:r>
      <w:r>
        <w:rPr>
          <w:rFonts w:eastAsia="仿宋_GB2312" w:hint="eastAsia"/>
          <w:sz w:val="32"/>
          <w:szCs w:val="32"/>
        </w:rPr>
        <w:t>新冠疫情的</w:t>
      </w:r>
      <w:r>
        <w:rPr>
          <w:rFonts w:eastAsia="仿宋_GB2312"/>
          <w:sz w:val="32"/>
          <w:szCs w:val="32"/>
        </w:rPr>
        <w:t>防控工作，密切配合市级相关部门倾力联防联控。</w:t>
      </w:r>
    </w:p>
    <w:p>
      <w:pPr>
        <w:pStyle w:val="2"/>
        <w:autoSpaceDN w:val="0"/>
        <w:spacing w:before="0" w:after="0" w:line="360" w:lineRule="auto"/>
        <w:ind w:firstLineChars="200" w:firstLine="640"/>
        <w:rPr>
          <w:rFonts w:ascii="Times New Roman" w:eastAsia="黑体" w:cs="Times New Roman" w:hAnsi="Times New Roman"/>
          <w:b w:val="0"/>
          <w:bCs w:val="0"/>
          <w:color w:val="000000"/>
        </w:rPr>
      </w:pPr>
      <w:bookmarkStart w:id="1" w:name="_二、机构设置"/>
      <w:bookmarkEnd w:id="1"/>
      <w:r>
        <w:rPr>
          <w:rFonts w:ascii="Times New Roman" w:eastAsia="黑体" w:hAnsi="Times New Roman" w:hint="eastAsia"/>
          <w:b w:val="0"/>
          <w:bCs w:val="0"/>
          <w:color w:val="000000"/>
        </w:rPr>
        <w:t>二、机构设置</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2020年攀枝花市城市管理行政执法局下属二级决算单位5个，其中参照公务员法管理的事业单位2个，其他事业单位3个，攀枝花市城市管理行政执法局（本级）年末共有在职人员42人。     </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攀枝花市城市管理行政执法局（本级）纳入2020年度部门决算编制。</w:t>
      </w:r>
    </w:p>
    <w:p>
      <w:pPr>
        <w:autoSpaceDN w:val="0"/>
        <w:spacing w:line="360" w:lineRule="auto"/>
        <w:jc w:val="center"/>
        <w:rPr>
          <w:rStyle w:val="22"/>
          <w:rFonts w:eastAsia="黑体"/>
          <w:sz w:val="44"/>
          <w:szCs w:val="44"/>
        </w:rPr>
      </w:pPr>
    </w:p>
    <w:p>
      <w:pPr>
        <w:autoSpaceDN w:val="0"/>
        <w:spacing w:line="360" w:lineRule="auto"/>
        <w:jc w:val="center"/>
        <w:rPr>
          <w:rFonts w:eastAsia="黑体"/>
          <w:sz w:val="44"/>
          <w:szCs w:val="44"/>
        </w:rPr>
      </w:pPr>
      <w:r>
        <w:rPr>
          <w:rStyle w:val="22"/>
          <w:rFonts w:eastAsia="黑体" w:hint="eastAsia"/>
          <w:sz w:val="44"/>
          <w:szCs w:val="44"/>
        </w:rPr>
        <w:t>第二部分</w:t>
      </w:r>
      <w:r>
        <w:rPr>
          <w:rStyle w:val="22"/>
          <w:rFonts w:eastAsia="黑体"/>
          <w:sz w:val="44"/>
          <w:szCs w:val="44"/>
        </w:rPr>
        <w:t xml:space="preserve"> 2020</w:t>
      </w:r>
      <w:r>
        <w:rPr>
          <w:rStyle w:val="22"/>
          <w:rFonts w:eastAsia="黑体" w:hint="eastAsia"/>
          <w:sz w:val="44"/>
          <w:szCs w:val="44"/>
        </w:rPr>
        <w:t>年度部门决算情况说明</w:t>
      </w:r>
    </w:p>
    <w:p>
      <w:pPr>
        <w:pStyle w:val="2"/>
        <w:autoSpaceDN w:val="0"/>
        <w:spacing w:before="0" w:after="0" w:line="360" w:lineRule="auto"/>
        <w:ind w:firstLineChars="200" w:firstLine="640"/>
        <w:rPr>
          <w:rFonts w:ascii="Times New Roman" w:cs="Times New Roman" w:hAnsi="Times New Roman"/>
          <w:color w:val="000000"/>
        </w:rPr>
      </w:pPr>
      <w:bookmarkStart w:id="2" w:name="_一、收入支出决算总体情况说明"/>
      <w:bookmarkEnd w:id="2"/>
      <w:r>
        <w:rPr>
          <w:rFonts w:ascii="Times New Roman" w:eastAsia="黑体" w:hAnsi="Times New Roman" w:hint="eastAsia"/>
          <w:b w:val="0"/>
          <w:bCs w:val="0"/>
          <w:color w:val="000000"/>
        </w:rPr>
        <w:t>一、收</w:t>
      </w:r>
      <w:r>
        <w:rPr>
          <w:rFonts w:ascii="Times New Roman" w:hAnsi="Times New Roman" w:hint="eastAsia"/>
          <w:color w:val="000000"/>
        </w:rPr>
        <w:t>入支出决算总体情况说明</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2020年度收、支总计896.11万元。与2019年相比，收、支总计各增加16.42万元，</w:t>
      </w:r>
      <w:r>
        <w:rPr>
          <w:rFonts w:ascii="仿宋_GB2312" w:eastAsia="仿宋_GB2312" w:cs="仿宋_GB2312"/>
          <w:sz w:val="32"/>
          <w:szCs w:val="32"/>
        </w:rPr>
        <w:t>增长</w:t>
      </w:r>
      <w:r>
        <w:rPr>
          <w:rFonts w:ascii="仿宋_GB2312" w:eastAsia="仿宋_GB2312" w:cs="仿宋_GB2312" w:hint="eastAsia"/>
          <w:sz w:val="32"/>
          <w:szCs w:val="32"/>
        </w:rPr>
        <w:t>1.87%。主要变动原因是因执法体制改革人员增加。</w:t>
      </w:r>
    </w:p>
    <w:p>
      <w:pPr>
        <w:autoSpaceDN w:val="0"/>
        <w:spacing w:line="360" w:lineRule="auto"/>
        <w:ind w:firstLineChars="150" w:firstLine="315"/>
        <w:rPr>
          <w:szCs w:val="21"/>
        </w:rPr>
      </w:pPr>
      <w:r>
        <w:drawing>
          <wp:inline distT="0" distB="0" distL="0" distR="0">
            <wp:extent cx="4600575" cy="2343150"/>
            <wp:effectExtent l="0" t="0" r="0" b="0"/>
            <wp:docPr id="1" name="图片 1"/>
            <wp:cNvGraphicFramePr>
              <a:graphicFrameLocks noChangeAspect="1"/>
            </wp:cNvGraphicFramePr>
            <a:graphic>
              <a:graphicData uri="http://schemas.openxmlformats.org/drawingml/2006/picture">
                <pic:pic>
                  <pic:nvPicPr>
                    <pic:cNvPr id="3" name="图片 3"/>
                    <pic:cNvPicPr/>
                  </pic:nvPicPr>
                  <pic:blipFill>
                    <a:blip r:embed="rId4">
                      <a:lum bright="0" contrast="0"/>
                    </a:blip>
                    <a:srcRect t="0" b="0" l="0" r="0"/>
                    <a:stretch>
                      <a:fillRect/>
                    </a:stretch>
                  </pic:blipFill>
                  <pic:spPr>
                    <a:xfrm rot="0">
                      <a:off x="0" y="0"/>
                      <a:ext cx="4600575" cy="2343150"/>
                    </a:xfrm>
                    <a:prstGeom prst="rect"/>
                    <a:noFill/>
                    <a:ln w="9525" cmpd="sng">
                      <a:noFill/>
                      <a:prstDash val="solid"/>
                      <a:miter/>
                    </a:ln>
                  </pic:spPr>
                </pic:pic>
              </a:graphicData>
            </a:graphic>
          </wp:inline>
        </w:drawing>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（图1：收、支决算总计变动情况图）</w:t>
      </w:r>
    </w:p>
    <w:p>
      <w:pPr>
        <w:pStyle w:val="2"/>
        <w:autoSpaceDN w:val="0"/>
        <w:spacing w:before="0" w:after="0" w:line="360" w:lineRule="auto"/>
        <w:ind w:firstLineChars="200" w:firstLine="640"/>
        <w:rPr>
          <w:rFonts w:ascii="Times New Roman" w:cs="Times New Roman" w:hAnsi="Times New Roman"/>
          <w:color w:val="000000"/>
        </w:rPr>
      </w:pPr>
      <w:bookmarkStart w:id="3" w:name="_二、收入决算情况说明"/>
      <w:bookmarkEnd w:id="3"/>
      <w:r>
        <w:rPr>
          <w:rFonts w:ascii="Times New Roman" w:eastAsia="黑体" w:hAnsi="Times New Roman" w:hint="eastAsia"/>
          <w:b w:val="0"/>
          <w:bCs w:val="0"/>
          <w:color w:val="000000"/>
        </w:rPr>
        <w:t>二、收</w:t>
      </w:r>
      <w:r>
        <w:rPr>
          <w:rFonts w:ascii="Times New Roman" w:hAnsi="Times New Roman" w:hint="eastAsia"/>
          <w:color w:val="000000"/>
        </w:rPr>
        <w:t>入决算情况说明</w:t>
      </w:r>
    </w:p>
    <w:p>
      <w:pPr>
        <w:autoSpaceDN w:val="0"/>
        <w:spacing w:line="360" w:lineRule="auto"/>
        <w:ind w:firstLineChars="200" w:firstLine="640"/>
        <w:jc w:val="left"/>
        <w:rPr>
          <w:szCs w:val="21"/>
        </w:rPr>
      </w:pPr>
      <w:r>
        <w:rPr>
          <w:rFonts w:ascii="仿宋_GB2312" w:eastAsia="仿宋_GB2312" w:cs="仿宋_GB2312" w:hint="eastAsia"/>
          <w:snapToGrid w:val="0"/>
          <w:kern w:val="0"/>
          <w:sz w:val="32"/>
          <w:szCs w:val="32"/>
        </w:rPr>
        <w:t>2020年本年收入合计896.11万元，其中：一般公共预算财政拨款收入785.18万元，占87.62%；政府性基金预算财政拨款收入110.93万元，占12.38%； 事业收入0万元，占0%。</w:t>
      </w:r>
      <w:r>
        <w:drawing>
          <wp:inline distT="0" distB="0" distL="0" distR="0">
            <wp:extent cx="4686300" cy="2228850"/>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5">
                      <a:lum bright="0" contrast="0"/>
                    </a:blip>
                    <a:srcRect t="0" b="0" l="0" r="0"/>
                    <a:stretch>
                      <a:fillRect/>
                    </a:stretch>
                  </pic:blipFill>
                  <pic:spPr>
                    <a:xfrm rot="0">
                      <a:off x="0" y="0"/>
                      <a:ext cx="4686300" cy="2228850"/>
                    </a:xfrm>
                    <a:prstGeom prst="rect"/>
                    <a:noFill/>
                    <a:ln w="9525" cmpd="sng">
                      <a:noFill/>
                      <a:prstDash val="solid"/>
                      <a:miter/>
                    </a:ln>
                  </pic:spPr>
                </pic:pic>
              </a:graphicData>
            </a:graphic>
          </wp:inline>
        </w:drawing>
      </w:r>
    </w:p>
    <w:p>
      <w:pPr>
        <w:autoSpaceDN w:val="0"/>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（图2：收入决算结构图）</w:t>
      </w:r>
    </w:p>
    <w:p>
      <w:pPr>
        <w:pStyle w:val="2"/>
        <w:autoSpaceDN w:val="0"/>
        <w:spacing w:before="0" w:after="0" w:line="360" w:lineRule="auto"/>
        <w:ind w:firstLineChars="200" w:firstLine="640"/>
        <w:rPr>
          <w:rFonts w:ascii="Times New Roman" w:cs="Times New Roman" w:hAnsi="Times New Roman"/>
          <w:color w:val="000000"/>
        </w:rPr>
      </w:pPr>
      <w:bookmarkStart w:id="4" w:name="_三、支出决算情况说明"/>
      <w:bookmarkEnd w:id="4"/>
      <w:r>
        <w:rPr>
          <w:rFonts w:ascii="Times New Roman" w:hAnsi="Times New Roman" w:hint="eastAsia"/>
          <w:color w:val="000000"/>
        </w:rPr>
        <w:t>三、支出决算情况说明</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2020年本年支出合计870.51万元，其中：基本支出751.09万元，占86.28%；项目支出119.42万元，占13.72%。</w:t>
      </w:r>
    </w:p>
    <w:p>
      <w:pPr>
        <w:autoSpaceDN w:val="0"/>
        <w:spacing w:line="360" w:lineRule="auto"/>
        <w:ind w:firstLineChars="100" w:firstLine="210"/>
        <w:rPr>
          <w:szCs w:val="21"/>
        </w:rPr>
      </w:pPr>
      <w:r>
        <w:drawing>
          <wp:inline distT="0" distB="0" distL="0" distR="0">
            <wp:extent cx="4552950" cy="2381250"/>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6">
                      <a:lum bright="0" contrast="0"/>
                    </a:blip>
                    <a:srcRect t="0" b="0" l="0" r="0"/>
                    <a:stretch>
                      <a:fillRect/>
                    </a:stretch>
                  </pic:blipFill>
                  <pic:spPr>
                    <a:xfrm rot="0">
                      <a:off x="0" y="0"/>
                      <a:ext cx="4552950" cy="2381250"/>
                    </a:xfrm>
                    <a:prstGeom prst="rect"/>
                    <a:noFill/>
                    <a:ln w="9525" cmpd="sng">
                      <a:noFill/>
                      <a:prstDash val="solid"/>
                      <a:miter/>
                    </a:ln>
                  </pic:spPr>
                </pic:pic>
              </a:graphicData>
            </a:graphic>
          </wp:inline>
        </w:drawing>
      </w:r>
    </w:p>
    <w:p>
      <w:pPr>
        <w:autoSpaceDN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（图3：支出决算结构图）</w:t>
      </w:r>
    </w:p>
    <w:p>
      <w:pPr>
        <w:pStyle w:val="2"/>
        <w:autoSpaceDN w:val="0"/>
        <w:spacing w:before="0" w:after="0" w:line="360" w:lineRule="auto"/>
        <w:ind w:firstLineChars="200" w:firstLine="640"/>
        <w:rPr>
          <w:rFonts w:ascii="Times New Roman" w:cs="Times New Roman" w:hAnsi="Times New Roman"/>
          <w:color w:val="000000"/>
        </w:rPr>
      </w:pPr>
      <w:bookmarkStart w:id="5" w:name="_四、财政拨款收入支出决算总体情况说明"/>
      <w:bookmarkEnd w:id="5"/>
      <w:r>
        <w:rPr>
          <w:rFonts w:ascii="Times New Roman" w:eastAsia="黑体" w:hAnsi="Times New Roman" w:hint="eastAsia"/>
          <w:b w:val="0"/>
          <w:bCs w:val="0"/>
          <w:color w:val="000000"/>
        </w:rPr>
        <w:t>四、财</w:t>
      </w:r>
      <w:r>
        <w:rPr>
          <w:rFonts w:ascii="Times New Roman" w:hAnsi="Times New Roman" w:hint="eastAsia"/>
          <w:color w:val="000000"/>
        </w:rPr>
        <w:t>政拨款收入支出决算总体情况说明</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2020年财政拨款收、支总计896.11万元。与2019年相比，收、支总计各增加16.42万元，</w:t>
      </w:r>
      <w:r>
        <w:rPr>
          <w:rFonts w:ascii="仿宋_GB2312" w:eastAsia="仿宋_GB2312" w:cs="仿宋_GB2312"/>
          <w:sz w:val="32"/>
          <w:szCs w:val="32"/>
        </w:rPr>
        <w:t>增长</w:t>
      </w:r>
      <w:r>
        <w:rPr>
          <w:rFonts w:ascii="仿宋_GB2312" w:eastAsia="仿宋_GB2312" w:cs="仿宋_GB2312" w:hint="eastAsia"/>
          <w:sz w:val="32"/>
          <w:szCs w:val="32"/>
        </w:rPr>
        <w:t>1.87%。主要变动原因是因执法体制改革人员增加。</w:t>
      </w:r>
    </w:p>
    <w:p>
      <w:pPr>
        <w:autoSpaceDN w:val="0"/>
        <w:spacing w:line="360" w:lineRule="auto"/>
        <w:ind w:firstLineChars="200" w:firstLine="420"/>
        <w:rPr>
          <w:szCs w:val="21"/>
        </w:rPr>
      </w:pPr>
      <w:r>
        <w:drawing>
          <wp:inline distT="0" distB="0" distL="0" distR="0">
            <wp:extent cx="4524375" cy="2219325"/>
            <wp:effectExtent l="0" t="0" r="0" b="0"/>
            <wp:docPr id="10" name="图片 10"/>
            <wp:cNvGraphicFramePr>
              <a:graphicFrameLocks noChangeAspect="1"/>
            </wp:cNvGraphicFramePr>
            <a:graphic>
              <a:graphicData uri="http://schemas.openxmlformats.org/drawingml/2006/picture">
                <pic:pic>
                  <pic:nvPicPr>
                    <pic:cNvPr id="12" name="图片 12"/>
                    <pic:cNvPicPr/>
                  </pic:nvPicPr>
                  <pic:blipFill>
                    <a:blip r:embed="rId7">
                      <a:lum bright="0" contrast="0"/>
                    </a:blip>
                    <a:srcRect t="0" b="0" l="0" r="0"/>
                    <a:stretch>
                      <a:fillRect/>
                    </a:stretch>
                  </pic:blipFill>
                  <pic:spPr>
                    <a:xfrm rot="0">
                      <a:off x="0" y="0"/>
                      <a:ext cx="4524375" cy="2219325"/>
                    </a:xfrm>
                    <a:prstGeom prst="rect"/>
                    <a:noFill/>
                    <a:ln w="9525" cmpd="sng">
                      <a:noFill/>
                      <a:prstDash val="solid"/>
                      <a:miter/>
                    </a:ln>
                  </pic:spPr>
                </pic:pic>
              </a:graphicData>
            </a:graphic>
          </wp:inline>
        </w:drawing>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（图4：财政拨款收、支决算总计变动情况）</w:t>
      </w:r>
    </w:p>
    <w:p>
      <w:pPr>
        <w:pStyle w:val="2"/>
        <w:autoSpaceDN w:val="0"/>
        <w:spacing w:before="0" w:after="0" w:line="360" w:lineRule="auto"/>
        <w:ind w:firstLineChars="196" w:firstLine="627"/>
        <w:rPr>
          <w:rStyle w:val="23"/>
          <w:rFonts w:eastAsia="黑体"/>
          <w:b w:val="0"/>
          <w:bCs w:val="0"/>
        </w:rPr>
      </w:pPr>
      <w:bookmarkStart w:id="6" w:name="_五、一般公共预算财政拨款支出决算情况说明"/>
      <w:bookmarkEnd w:id="6"/>
      <w:r>
        <w:rPr>
          <w:rFonts w:eastAsia="黑体" w:hint="eastAsia"/>
          <w:color w:val="000000"/>
        </w:rPr>
        <w:t>五、</w:t>
      </w:r>
      <w:r>
        <w:rPr>
          <w:rFonts w:eastAsia="黑体" w:hint="eastAsia"/>
          <w:b w:val="0"/>
          <w:bCs w:val="0"/>
          <w:color w:val="000000"/>
        </w:rPr>
        <w:t>一</w:t>
      </w:r>
      <w:r>
        <w:rPr>
          <w:rStyle w:val="23"/>
          <w:rFonts w:eastAsia="黑体" w:hint="eastAsia"/>
          <w:b w:val="0"/>
          <w:bCs w:val="0"/>
        </w:rPr>
        <w:t>般公共预算财政拨款支出决算情况说明</w:t>
      </w:r>
    </w:p>
    <w:p>
      <w:pPr>
        <w:autoSpaceDN w:val="0"/>
        <w:spacing w:line="360" w:lineRule="auto"/>
        <w:ind w:firstLineChars="200" w:firstLine="640"/>
        <w:outlineLvl w:val="2"/>
        <w:rPr>
          <w:rFonts w:eastAsia="仿宋"/>
          <w:color w:val="000000"/>
          <w:sz w:val="32"/>
          <w:szCs w:val="32"/>
        </w:rPr>
      </w:pPr>
      <w:r>
        <w:rPr>
          <w:rFonts w:eastAsia="仿宋" w:hint="eastAsia"/>
          <w:b/>
          <w:bCs/>
          <w:color w:val="000000"/>
          <w:sz w:val="32"/>
          <w:szCs w:val="32"/>
        </w:rPr>
        <w:t>（一）一般公共预算财政拨款支出决算总体情况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2020年一般公共预算财政拨款支出785.18万元，占本年支出合计的90.20%。与2019年相比，一般公共预算财政拨款减少12.19万元，</w:t>
      </w:r>
      <w:r>
        <w:rPr>
          <w:rFonts w:ascii="仿宋_GB2312" w:eastAsia="仿宋_GB2312" w:cs="仿宋_GB2312"/>
          <w:sz w:val="32"/>
          <w:szCs w:val="32"/>
        </w:rPr>
        <w:t>下降</w:t>
      </w:r>
      <w:r>
        <w:rPr>
          <w:rFonts w:ascii="仿宋_GB2312" w:eastAsia="仿宋_GB2312" w:cs="仿宋_GB2312" w:hint="eastAsia"/>
          <w:sz w:val="32"/>
          <w:szCs w:val="32"/>
        </w:rPr>
        <w:t>1.53%。主要变动原因是财政拨款项目减少。</w:t>
      </w:r>
    </w:p>
    <w:p>
      <w:pPr>
        <w:autoSpaceDN w:val="0"/>
        <w:spacing w:line="360" w:lineRule="auto"/>
        <w:ind w:firstLineChars="200" w:firstLine="420"/>
        <w:rPr>
          <w:rFonts w:ascii="仿宋_GB2312" w:eastAsia="仿宋_GB2312" w:cs="仿宋_GB2312"/>
          <w:sz w:val="32"/>
          <w:szCs w:val="32"/>
        </w:rPr>
      </w:pPr>
      <w:r>
        <w:drawing>
          <wp:inline distT="0" distB="0" distL="0" distR="0">
            <wp:extent cx="4991100" cy="1609725"/>
            <wp:effectExtent l="0" t="0" r="0" b="0"/>
            <wp:docPr id="13" name="图片 13"/>
            <wp:cNvGraphicFramePr>
              <a:graphicFrameLocks noChangeAspect="1"/>
            </wp:cNvGraphicFramePr>
            <a:graphic>
              <a:graphicData uri="http://schemas.openxmlformats.org/drawingml/2006/picture">
                <pic:pic>
                  <pic:nvPicPr>
                    <pic:cNvPr id="15" name="图片 15"/>
                    <pic:cNvPicPr/>
                  </pic:nvPicPr>
                  <pic:blipFill>
                    <a:blip r:embed="rId8">
                      <a:lum bright="0" contrast="0"/>
                    </a:blip>
                    <a:srcRect t="0" b="0" l="0" r="0"/>
                    <a:stretch>
                      <a:fillRect/>
                    </a:stretch>
                  </pic:blipFill>
                  <pic:spPr>
                    <a:xfrm rot="0">
                      <a:off x="0" y="0"/>
                      <a:ext cx="4991100" cy="1609725"/>
                    </a:xfrm>
                    <a:prstGeom prst="rect"/>
                    <a:noFill/>
                    <a:ln w="9525" cmpd="sng">
                      <a:noFill/>
                      <a:prstDash val="solid"/>
                      <a:miter/>
                    </a:ln>
                  </pic:spPr>
                </pic:pic>
              </a:graphicData>
            </a:graphic>
          </wp:inline>
        </w:drawing>
      </w:r>
      <w:r>
        <w:rPr>
          <w:rFonts w:ascii="仿宋_GB2312" w:eastAsia="仿宋_GB2312" w:cs="仿宋_GB2312" w:hint="eastAsia"/>
          <w:sz w:val="32"/>
          <w:szCs w:val="32"/>
        </w:rPr>
        <w:t>（图5：一般公共预算财政拨款支出决算变动情况）</w:t>
      </w:r>
    </w:p>
    <w:p>
      <w:pPr>
        <w:autoSpaceDN w:val="0"/>
        <w:spacing w:line="360" w:lineRule="auto"/>
        <w:ind w:firstLineChars="200" w:firstLine="640"/>
        <w:rPr>
          <w:rFonts w:eastAsia="仿宋"/>
          <w:b/>
          <w:bCs/>
          <w:color w:val="000000"/>
          <w:sz w:val="32"/>
          <w:szCs w:val="32"/>
        </w:rPr>
      </w:pPr>
      <w:r>
        <w:rPr>
          <w:rFonts w:eastAsia="仿宋" w:hint="eastAsia"/>
          <w:b/>
          <w:bCs/>
          <w:color w:val="000000"/>
          <w:sz w:val="32"/>
          <w:szCs w:val="32"/>
        </w:rPr>
        <w:t>（二）一般公共预算财政拨款支出决算结构情况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一般公共预算财政拨款支出785.18万元，主要用于以下方面:一般公共服务（类）支出2.84万元，占0.36%；社会保障和就业（类）支出78.85万元，占10.04%；卫生健康支出34.70万元，占4.42%；城乡社区支出614.62万元，占78.28%；住房保障支出54.17万元，占6.90%。</w:t>
      </w:r>
    </w:p>
    <w:p>
      <w:pPr>
        <w:autoSpaceDN w:val="0"/>
        <w:spacing w:line="360" w:lineRule="auto"/>
        <w:ind w:firstLineChars="200" w:firstLine="420"/>
        <w:rPr>
          <w:szCs w:val="21"/>
        </w:rPr>
      </w:pPr>
      <w:r>
        <w:drawing>
          <wp:inline distT="0" distB="0" distL="0" distR="0">
            <wp:extent cx="4791075" cy="2209800"/>
            <wp:effectExtent l="0" t="0" r="0" b="0"/>
            <wp:docPr id="16" name="图片 16"/>
            <wp:cNvGraphicFramePr>
              <a:graphicFrameLocks noChangeAspect="1"/>
            </wp:cNvGraphicFramePr>
            <a:graphic>
              <a:graphicData uri="http://schemas.openxmlformats.org/drawingml/2006/picture">
                <pic:pic>
                  <pic:nvPicPr>
                    <pic:cNvPr id="18" name="图片 18"/>
                    <pic:cNvPicPr/>
                  </pic:nvPicPr>
                  <pic:blipFill>
                    <a:blip r:embed="rId9">
                      <a:lum bright="0" contrast="0"/>
                    </a:blip>
                    <a:srcRect t="0" b="0" l="0" r="0"/>
                    <a:stretch>
                      <a:fillRect/>
                    </a:stretch>
                  </pic:blipFill>
                  <pic:spPr>
                    <a:xfrm rot="0">
                      <a:off x="0" y="0"/>
                      <a:ext cx="4791075" cy="2209800"/>
                    </a:xfrm>
                    <a:prstGeom prst="rect"/>
                    <a:noFill/>
                    <a:ln w="9525" cmpd="sng">
                      <a:noFill/>
                      <a:prstDash val="solid"/>
                      <a:miter/>
                    </a:ln>
                  </pic:spPr>
                </pic:pic>
              </a:graphicData>
            </a:graphic>
          </wp:inline>
        </w:drawing>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（图6：一般公共预算财政拨款支出决算结构）</w:t>
      </w:r>
    </w:p>
    <w:p>
      <w:pPr>
        <w:autoSpaceDN w:val="0"/>
        <w:spacing w:line="360" w:lineRule="auto"/>
        <w:ind w:firstLineChars="200" w:firstLine="640"/>
        <w:outlineLvl w:val="2"/>
        <w:rPr>
          <w:rFonts w:eastAsia="仿宋"/>
          <w:b/>
          <w:bCs/>
          <w:color w:val="000000"/>
          <w:sz w:val="32"/>
          <w:szCs w:val="32"/>
        </w:rPr>
      </w:pPr>
      <w:r>
        <w:rPr>
          <w:rFonts w:eastAsia="仿宋" w:hint="eastAsia"/>
          <w:b/>
          <w:bCs/>
          <w:color w:val="000000"/>
          <w:sz w:val="32"/>
          <w:szCs w:val="32"/>
        </w:rPr>
        <w:t>（三）一般公共预算财政拨款支出决算具体情况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2020年一般公共预算支出决算数为785.18，完成预算100%。其中：</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1.一般公共服务（类）人力资源事务（款）其他人力资源事务支出（项）: 支出决算为0.50万元，完成预算100%。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2.一般公共服务（类）组织事务（款）其他组织事务支出（项）: 支出决算为2.34万元，完成预算100%。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3.社会保障和就业（类）行政事业单位养老支出（款）  行政单位离退休（项）: 支出决算为36.35万元，完成预算100%。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4.社会保障和就业（类）行政事业单位养老支出（款）机关事业单位基本养老保险缴费支出（项）: 支出决算为41.95万元，完成预算100%。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5. 社会保障和就业（类）社会福利（款） 儿童福利（项）: 支出决算为0.55万元，完成预算100%。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6. 卫生健康支出（类）行政事业单位医疗（款）  行政单位医疗（项）:支出决算为32.38万元，完成预算100%。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7.卫生健康支出（类）行政事业单位医疗（款）公务员医疗补助（项）:支出决算为2.32万元，完成预算100%。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8.城乡社区支出（类）城乡社区管理事务（款）行政运行（项）:支出决算为583.92万元，完成预算100%。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9.城乡社区支出（类）城乡社区管理事务（款）一般行政管理事务（项）:支出决算为30.70万元，完成预算100%。</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10.住房保障支出（类）住房改革支出（款）  住房公积金（项）:支出决算为54.17万元，完成预算100%。</w:t>
      </w:r>
    </w:p>
    <w:p>
      <w:pPr>
        <w:pStyle w:val="2"/>
        <w:autoSpaceDN w:val="0"/>
        <w:spacing w:before="0" w:after="0" w:line="360" w:lineRule="auto"/>
        <w:ind w:firstLineChars="196" w:firstLine="627"/>
        <w:rPr>
          <w:rStyle w:val="23"/>
        </w:rPr>
      </w:pPr>
      <w:bookmarkStart w:id="7" w:name="_六、一般公共预算财政拨款基本支出决算情况说明&#9;"/>
      <w:bookmarkEnd w:id="7"/>
      <w:r>
        <w:rPr>
          <w:rFonts w:ascii="黑体" w:eastAsia="黑体" w:hint="eastAsia"/>
          <w:color w:val="000000"/>
        </w:rPr>
        <w:t>六</w:t>
      </w:r>
      <w:r>
        <w:rPr>
          <w:rFonts w:ascii="黑体" w:eastAsia="黑体" w:hint="eastAsia"/>
          <w:b w:val="0"/>
          <w:bCs w:val="0"/>
          <w:color w:val="000000"/>
        </w:rPr>
        <w:t>、一</w:t>
      </w:r>
      <w:r>
        <w:rPr>
          <w:rStyle w:val="23"/>
          <w:rFonts w:ascii="黑体" w:eastAsia="黑体" w:hint="eastAsia"/>
          <w:b w:val="0"/>
          <w:bCs w:val="0"/>
        </w:rPr>
        <w:t>般公共预算财政拨款基本支出决算情况说明</w:t>
        <w:tab/>
      </w:r>
    </w:p>
    <w:p>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2020年一般公共预算财政拨款基本支出751.09万元，其中：</w:t>
      </w:r>
    </w:p>
    <w:p>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人员经费625.21万元，主要包括：基本工资、津贴补贴、奖金、绩效工资、机关事业单位基本养老保险缴费、职业年金缴费、其他社会保障缴费、其他工资福利支出、离休费、退休费、抚恤金、生活补助、住房公积金、其他对个人和家庭的补助支出等。</w:t>
      </w:r>
    </w:p>
    <w:p>
      <w:pPr>
        <w:autoSpaceDN w:val="0"/>
        <w:spacing w:line="360" w:lineRule="auto"/>
        <w:ind w:firstLineChars="200" w:firstLine="640"/>
        <w:rPr>
          <w:rFonts w:ascii="仿宋" w:eastAsia="仿宋"/>
          <w:color w:val="000000"/>
          <w:sz w:val="32"/>
          <w:szCs w:val="32"/>
        </w:rPr>
      </w:pPr>
      <w:r>
        <w:rPr>
          <w:rFonts w:ascii="仿宋_GB2312" w:eastAsia="仿宋_GB2312" w:hint="eastAsia"/>
          <w:sz w:val="32"/>
          <w:szCs w:val="32"/>
        </w:rPr>
        <w:t>公用经费125.88万元，主要包括：办公费、手续费、水费、电费、邮电费、差旅费、维修（护）费、租赁费、会议费、培训费、公务接待费、劳务费、委托业务费、工会经费、福利费、公务用车运行维护费、其他交通费、其他商品和服务支出、办公设备购置、无形资产购置等。</w:t>
      </w:r>
    </w:p>
    <w:p>
      <w:pPr>
        <w:pStyle w:val="2"/>
        <w:autoSpaceDN w:val="0"/>
        <w:spacing w:before="0" w:after="0" w:line="360" w:lineRule="auto"/>
        <w:ind w:firstLineChars="196" w:firstLine="627"/>
        <w:rPr>
          <w:rStyle w:val="23"/>
          <w:rFonts w:eastAsia="黑体"/>
          <w:b w:val="0"/>
          <w:bCs w:val="0"/>
        </w:rPr>
      </w:pPr>
      <w:bookmarkStart w:id="8" w:name="_七、“三公”经费财政拨款支出决算情况说明"/>
      <w:bookmarkEnd w:id="8"/>
      <w:r>
        <w:rPr>
          <w:rFonts w:eastAsia="黑体" w:hint="eastAsia"/>
          <w:color w:val="000000"/>
        </w:rPr>
        <w:t>七、</w:t>
      </w:r>
      <w:r>
        <w:rPr>
          <w:rStyle w:val="23"/>
          <w:rFonts w:eastAsia="黑体" w:hint="eastAsia"/>
        </w:rPr>
        <w:t>“</w:t>
      </w:r>
      <w:r>
        <w:rPr>
          <w:rStyle w:val="23"/>
          <w:rFonts w:eastAsia="黑体" w:hint="eastAsia"/>
          <w:b w:val="0"/>
          <w:bCs w:val="0"/>
        </w:rPr>
        <w:t>三公”经费财政拨款支出决算情况说明</w:t>
      </w:r>
    </w:p>
    <w:p>
      <w:pPr>
        <w:autoSpaceDN w:val="0"/>
        <w:spacing w:line="360" w:lineRule="auto"/>
        <w:ind w:firstLineChars="200" w:firstLine="640"/>
        <w:outlineLvl w:val="2"/>
        <w:rPr>
          <w:rFonts w:eastAsia="仿宋"/>
          <w:color w:val="000000"/>
          <w:sz w:val="32"/>
          <w:szCs w:val="32"/>
        </w:rPr>
      </w:pPr>
      <w:r>
        <w:rPr>
          <w:rFonts w:eastAsia="仿宋" w:hint="eastAsia"/>
          <w:b/>
          <w:bCs/>
          <w:color w:val="000000"/>
          <w:sz w:val="32"/>
          <w:szCs w:val="32"/>
        </w:rPr>
        <w:t>（一）“三公”经费财政拨款支出决算总体情况说明</w:t>
      </w:r>
    </w:p>
    <w:p>
      <w:pPr>
        <w:autoSpaceDN w:val="0"/>
        <w:spacing w:line="360" w:lineRule="auto"/>
        <w:ind w:firstLine="641"/>
        <w:rPr>
          <w:rFonts w:ascii="仿宋_GB2312" w:eastAsia="仿宋_GB2312" w:cs="仿宋_GB2312"/>
          <w:sz w:val="32"/>
          <w:szCs w:val="32"/>
        </w:rPr>
      </w:pPr>
      <w:r>
        <w:rPr>
          <w:rFonts w:ascii="仿宋_GB2312" w:eastAsia="仿宋_GB2312" w:cs="仿宋_GB2312" w:hint="eastAsia"/>
          <w:sz w:val="32"/>
          <w:szCs w:val="32"/>
        </w:rPr>
        <w:t>2020年“三公”经费财政拨款支出决算为5.21万元，完成预算87.56%，决算数小于预算数的主要原因是贯彻落实中央、省、市八项规定，厉行节约，严格控制三公经费支出。</w:t>
      </w:r>
    </w:p>
    <w:p>
      <w:pPr>
        <w:autoSpaceDN w:val="0"/>
        <w:spacing w:line="360" w:lineRule="auto"/>
        <w:ind w:firstLineChars="200" w:firstLine="640"/>
        <w:outlineLvl w:val="2"/>
        <w:rPr>
          <w:rFonts w:eastAsia="仿宋"/>
          <w:b/>
          <w:bCs/>
          <w:color w:val="000000"/>
          <w:sz w:val="32"/>
          <w:szCs w:val="32"/>
        </w:rPr>
      </w:pPr>
      <w:r>
        <w:rPr>
          <w:rFonts w:eastAsia="仿宋" w:hint="eastAsia"/>
          <w:b/>
          <w:bCs/>
          <w:color w:val="000000"/>
          <w:sz w:val="32"/>
          <w:szCs w:val="32"/>
        </w:rPr>
        <w:t>（二）“三公”经费财政拨款支出决算具体情况说明</w:t>
      </w:r>
    </w:p>
    <w:p>
      <w:pPr>
        <w:autoSpaceDN w:val="0"/>
        <w:spacing w:line="360" w:lineRule="auto"/>
        <w:ind w:firstLine="641"/>
        <w:rPr>
          <w:rFonts w:ascii="仿宋_GB2312" w:eastAsia="仿宋_GB2312" w:cs="仿宋_GB2312"/>
          <w:sz w:val="32"/>
          <w:szCs w:val="32"/>
        </w:rPr>
      </w:pPr>
      <w:r>
        <w:rPr>
          <w:rFonts w:ascii="仿宋_GB2312" w:eastAsia="仿宋_GB2312" w:cs="仿宋_GB2312" w:hint="eastAsia"/>
          <w:sz w:val="32"/>
          <w:szCs w:val="32"/>
        </w:rPr>
        <w:t>2020年“三公”经费财政拨款支出决算中，因公出国（境）费支出决算0万元，占0%；公务用车购置及运行维护费支出决算4.25万元，占81.57%；公务接待费支出决算0.96万元，占18.43%。具体情况如下：</w:t>
      </w:r>
    </w:p>
    <w:p>
      <w:pPr>
        <w:autoSpaceDN w:val="0"/>
        <w:spacing w:line="360" w:lineRule="auto"/>
        <w:ind w:firstLineChars="200" w:firstLine="420"/>
        <w:rPr>
          <w:szCs w:val="21"/>
        </w:rPr>
      </w:pPr>
      <w:r>
        <w:drawing>
          <wp:inline distT="0" distB="0" distL="0" distR="0">
            <wp:extent cx="4191000" cy="1981200"/>
            <wp:effectExtent l="0" t="0" r="0" b="0"/>
            <wp:docPr id="19" name="图片 19"/>
            <wp:cNvGraphicFramePr>
              <a:graphicFrameLocks noChangeAspect="1"/>
            </wp:cNvGraphicFramePr>
            <a:graphic>
              <a:graphicData uri="http://schemas.openxmlformats.org/drawingml/2006/picture">
                <pic:pic>
                  <pic:nvPicPr>
                    <pic:cNvPr id="21" name="图片 21"/>
                    <pic:cNvPicPr/>
                  </pic:nvPicPr>
                  <pic:blipFill>
                    <a:blip r:embed="rId10">
                      <a:lum bright="0" contrast="0"/>
                    </a:blip>
                    <a:srcRect t="0" b="0" l="0" r="0"/>
                    <a:stretch>
                      <a:fillRect/>
                    </a:stretch>
                  </pic:blipFill>
                  <pic:spPr>
                    <a:xfrm rot="0">
                      <a:off x="0" y="0"/>
                      <a:ext cx="4191000" cy="1981200"/>
                    </a:xfrm>
                    <a:prstGeom prst="rect"/>
                    <a:noFill/>
                    <a:ln w="9525" cmpd="sng">
                      <a:noFill/>
                      <a:prstDash val="solid"/>
                      <a:miter/>
                    </a:ln>
                  </pic:spPr>
                </pic:pic>
              </a:graphicData>
            </a:graphic>
          </wp:inline>
        </w:drawing>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（图7：“三公”经费财政拨款支出结构）</w:t>
      </w:r>
    </w:p>
    <w:p>
      <w:pPr>
        <w:autoSpaceDN w:val="0"/>
        <w:spacing w:line="360" w:lineRule="auto"/>
        <w:ind w:firstLine="640"/>
        <w:rPr>
          <w:rFonts w:eastAsia="仿宋_GB2312"/>
          <w:color w:val="000000"/>
          <w:sz w:val="32"/>
          <w:szCs w:val="32"/>
        </w:rPr>
      </w:pPr>
      <w:r>
        <w:rPr>
          <w:rFonts w:eastAsia="仿宋_GB2312"/>
          <w:b/>
          <w:bCs/>
          <w:color w:val="000000"/>
          <w:sz w:val="32"/>
          <w:szCs w:val="32"/>
        </w:rPr>
        <w:t>1.</w:t>
      </w:r>
      <w:r>
        <w:rPr>
          <w:rFonts w:eastAsia="仿宋_GB2312" w:hint="eastAsia"/>
          <w:b/>
          <w:bCs/>
          <w:color w:val="000000"/>
          <w:sz w:val="32"/>
          <w:szCs w:val="32"/>
        </w:rPr>
        <w:t>因公出国（境）经费支出</w:t>
      </w:r>
      <w:r>
        <w:rPr>
          <w:rFonts w:eastAsia="仿宋_GB2312" w:hint="eastAsia"/>
          <w:color w:val="000000"/>
          <w:sz w:val="32"/>
          <w:szCs w:val="32"/>
        </w:rPr>
        <w:t>0万元</w:t>
      </w:r>
      <w:r>
        <w:rPr>
          <w:rStyle w:val="16"/>
          <w:rFonts w:eastAsia="仿宋" w:hint="eastAsia"/>
          <w:b w:val="0"/>
          <w:color w:val="000000"/>
          <w:sz w:val="32"/>
          <w:szCs w:val="32"/>
        </w:rPr>
        <w:t>。</w:t>
      </w:r>
    </w:p>
    <w:p>
      <w:pPr>
        <w:autoSpaceDN w:val="0"/>
        <w:spacing w:line="360" w:lineRule="auto"/>
        <w:ind w:firstLine="640"/>
        <w:rPr>
          <w:rFonts w:ascii="仿宋_GB2312" w:eastAsia="仿宋_GB2312" w:cs="仿宋_GB2312"/>
          <w:sz w:val="32"/>
          <w:szCs w:val="32"/>
        </w:rPr>
      </w:pPr>
      <w:r>
        <w:rPr>
          <w:rFonts w:eastAsia="仿宋_GB2312"/>
          <w:b/>
          <w:bCs/>
          <w:color w:val="000000"/>
          <w:sz w:val="32"/>
          <w:szCs w:val="32"/>
        </w:rPr>
        <w:t>2.</w:t>
      </w:r>
      <w:r>
        <w:rPr>
          <w:rFonts w:eastAsia="仿宋_GB2312" w:hint="eastAsia"/>
          <w:b/>
          <w:bCs/>
          <w:color w:val="000000"/>
          <w:sz w:val="32"/>
          <w:szCs w:val="32"/>
        </w:rPr>
        <w:t>公务用车购置及运行维护费支出</w:t>
      </w:r>
      <w:r>
        <w:rPr>
          <w:rFonts w:ascii="仿宋_GB2312" w:eastAsia="仿宋_GB2312" w:cs="仿宋_GB2312" w:hint="eastAsia"/>
          <w:sz w:val="32"/>
          <w:szCs w:val="32"/>
        </w:rPr>
        <w:t>4.25万元,完成预算99.30%。公务用车购置及运行维护费支出决算比2019年增加2.93 万元，增</w:t>
      </w:r>
      <w:r>
        <w:rPr>
          <w:rFonts w:ascii="仿宋_GB2312" w:eastAsia="仿宋_GB2312" w:cs="仿宋_GB2312"/>
          <w:sz w:val="32"/>
          <w:szCs w:val="32"/>
        </w:rPr>
        <w:t>长</w:t>
      </w:r>
      <w:r>
        <w:rPr>
          <w:rFonts w:ascii="仿宋_GB2312" w:eastAsia="仿宋_GB2312" w:cs="仿宋_GB2312" w:hint="eastAsia"/>
          <w:sz w:val="32"/>
          <w:szCs w:val="32"/>
        </w:rPr>
        <w:t>221.77%。主要原因是执法体制改革增加执法特种车辆及工作任务增多，公车运行维护费用增加，公务接待批次也较上年增多。</w:t>
      </w:r>
    </w:p>
    <w:p>
      <w:pPr>
        <w:autoSpaceDN w:val="0"/>
        <w:spacing w:line="360" w:lineRule="auto"/>
        <w:ind w:firstLineChars="200" w:firstLine="640"/>
        <w:rPr>
          <w:rFonts w:ascii="仿宋_GB2312" w:eastAsia="仿宋_GB2312" w:cs="仿宋_GB2312"/>
          <w:sz w:val="32"/>
          <w:szCs w:val="32"/>
        </w:rPr>
      </w:pPr>
      <w:r>
        <w:rPr>
          <w:rFonts w:ascii="仿宋_GB2312" w:eastAsia="仿宋_GB2312" w:hint="eastAsia"/>
          <w:color w:val="000000"/>
          <w:sz w:val="32"/>
          <w:szCs w:val="32"/>
        </w:rPr>
        <w:t>其中：</w:t>
      </w:r>
      <w:r>
        <w:rPr>
          <w:rFonts w:ascii="仿宋_GB2312" w:eastAsia="仿宋_GB2312" w:hint="eastAsia"/>
          <w:b/>
          <w:bCs/>
          <w:color w:val="000000"/>
          <w:sz w:val="32"/>
          <w:szCs w:val="32"/>
        </w:rPr>
        <w:t>公务用车购置支出</w:t>
      </w:r>
      <w:r>
        <w:rPr>
          <w:rFonts w:ascii="仿宋_GB2312" w:eastAsia="仿宋_GB2312" w:cs="仿宋_GB2312" w:hint="eastAsia"/>
          <w:sz w:val="32"/>
          <w:szCs w:val="32"/>
        </w:rPr>
        <w:t>0万元。截至2020年12月底，单位共有公务用车2辆，其中：越野车1辆、其他车型1辆。</w:t>
      </w:r>
    </w:p>
    <w:p>
      <w:pPr>
        <w:autoSpaceDN w:val="0"/>
        <w:spacing w:line="360" w:lineRule="auto"/>
        <w:ind w:firstLine="640"/>
        <w:rPr>
          <w:rFonts w:ascii="仿宋_GB2312" w:eastAsia="仿宋_GB2312"/>
          <w:color w:val="000000"/>
          <w:sz w:val="32"/>
          <w:szCs w:val="32"/>
        </w:rPr>
      </w:pPr>
      <w:r>
        <w:rPr>
          <w:rFonts w:ascii="仿宋_GB2312" w:eastAsia="仿宋_GB2312" w:hint="eastAsia"/>
          <w:b/>
          <w:bCs/>
          <w:color w:val="000000"/>
          <w:sz w:val="32"/>
          <w:szCs w:val="32"/>
        </w:rPr>
        <w:t>公务用车运行维护费支出</w:t>
      </w:r>
      <w:r>
        <w:rPr>
          <w:rFonts w:ascii="仿宋_GB2312" w:eastAsia="仿宋_GB2312" w:hint="eastAsia"/>
          <w:sz w:val="32"/>
          <w:szCs w:val="32"/>
        </w:rPr>
        <w:t>4.25万元。</w:t>
      </w:r>
      <w:r>
        <w:rPr>
          <w:rFonts w:ascii="仿宋_GB2312" w:eastAsia="仿宋_GB2312" w:cs="仿宋_GB2312" w:hint="eastAsia"/>
          <w:sz w:val="32"/>
          <w:szCs w:val="32"/>
        </w:rPr>
        <w:t>主要用于市容环境卫生管理、城市绿化管理、城管执法、煤气维修抢险、城市防洪、公用事业管理等工作所需的公务用车燃料费、维修费、过路过桥费、保险费等支出。</w:t>
      </w:r>
    </w:p>
    <w:p>
      <w:pPr>
        <w:autoSpaceDN w:val="0"/>
        <w:spacing w:line="360" w:lineRule="auto"/>
        <w:ind w:firstLineChars="200" w:firstLine="640"/>
        <w:rPr>
          <w:rFonts w:ascii="仿宋_GB2312" w:eastAsia="仿宋_GB2312"/>
          <w:sz w:val="32"/>
          <w:szCs w:val="32"/>
        </w:rPr>
      </w:pPr>
      <w:r>
        <w:rPr>
          <w:rFonts w:eastAsia="仿宋_GB2312"/>
          <w:b/>
          <w:bCs/>
          <w:color w:val="000000"/>
          <w:sz w:val="32"/>
          <w:szCs w:val="32"/>
        </w:rPr>
        <w:t>3.</w:t>
      </w:r>
      <w:r>
        <w:rPr>
          <w:rFonts w:eastAsia="仿宋_GB2312" w:hint="eastAsia"/>
          <w:b/>
          <w:bCs/>
          <w:color w:val="000000"/>
          <w:sz w:val="32"/>
          <w:szCs w:val="32"/>
        </w:rPr>
        <w:t>公务接待费支出</w:t>
      </w:r>
      <w:r>
        <w:rPr>
          <w:rFonts w:ascii="仿宋_GB2312" w:eastAsia="仿宋_GB2312" w:hint="eastAsia"/>
          <w:sz w:val="32"/>
          <w:szCs w:val="32"/>
        </w:rPr>
        <w:t>0.96</w:t>
      </w:r>
      <w:r>
        <w:rPr>
          <w:rFonts w:eastAsia="仿宋_GB2312" w:hint="eastAsia"/>
          <w:color w:val="000000"/>
          <w:sz w:val="32"/>
          <w:szCs w:val="32"/>
        </w:rPr>
        <w:t>万元，</w:t>
      </w:r>
      <w:r>
        <w:rPr>
          <w:rFonts w:ascii="仿宋_GB2312" w:eastAsia="仿宋_GB2312" w:hint="eastAsia"/>
          <w:sz w:val="32"/>
          <w:szCs w:val="32"/>
        </w:rPr>
        <w:t>完成预算57.49%。公务接待费支出决算比2019年增加0.49万元，增加101.91%。主要原因是工作任务变化，公务接待批次增加。</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其中：国内公务接待支出0.96万元，主要用于业务交流、执行公务、开展业务活动开支的用餐费等。国内公务接待9批次，37人次（不包括陪同人员），共计支出0.96万元，具体内容包括：省扫黑除恶督导组反馈问题整改工作调研2人工作餐费0.0705万元；四川发展（控股）有有限公司考察我市餐厨和污泥处理项目6人工作餐费0.1589万元；省住建厅生态环保督察工作组3人工作餐费0.1074万元；省住建厅安全生产督导组7人工作餐费0.1631万元；省住建厅黑臭水体整治检查3人工作餐费0.0968万元；中国城市环境卫生协会工作调研3人工作餐费0.0575万元；内江城管执法局学习考察垃圾分类工作4人工作餐费0.1071万元；成都铁路监督局3人工作餐费0.1078万元；内江城管执法局学习考察城管执法工作6人工作餐费0.094万元。</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外事接待支出</w:t>
      </w:r>
      <w:r>
        <w:rPr>
          <w:rFonts w:eastAsia="仿宋" w:hint="eastAsia"/>
          <w:color w:val="000000"/>
          <w:sz w:val="32"/>
          <w:szCs w:val="32"/>
        </w:rPr>
        <w:t>0</w:t>
      </w:r>
      <w:r>
        <w:rPr>
          <w:rFonts w:eastAsia="仿宋_GB2312" w:hint="eastAsia"/>
          <w:color w:val="000000"/>
          <w:sz w:val="32"/>
          <w:szCs w:val="32"/>
        </w:rPr>
        <w:t>万元</w:t>
      </w:r>
      <w:r>
        <w:rPr>
          <w:rFonts w:ascii="仿宋_GB2312" w:eastAsia="仿宋_GB2312" w:hint="eastAsia"/>
          <w:color w:val="000000"/>
          <w:sz w:val="32"/>
          <w:szCs w:val="32"/>
        </w:rPr>
        <w:t>,外事接待0批次,0人，共计支出0万元。</w:t>
      </w:r>
    </w:p>
    <w:p>
      <w:pPr>
        <w:pStyle w:val="2"/>
        <w:autoSpaceDN w:val="0"/>
        <w:spacing w:before="0" w:after="0" w:line="360" w:lineRule="auto"/>
        <w:ind w:firstLineChars="200" w:firstLine="640"/>
        <w:rPr>
          <w:rStyle w:val="23"/>
          <w:rFonts w:eastAsia="黑体"/>
        </w:rPr>
      </w:pPr>
      <w:bookmarkStart w:id="9" w:name="_八、政府性基金预算支出决算情况说明"/>
      <w:bookmarkEnd w:id="9"/>
      <w:r>
        <w:rPr>
          <w:rFonts w:eastAsia="黑体" w:hint="eastAsia"/>
          <w:color w:val="000000"/>
        </w:rPr>
        <w:t>八、</w:t>
      </w:r>
      <w:r>
        <w:rPr>
          <w:rStyle w:val="23"/>
          <w:rFonts w:eastAsia="黑体" w:hint="eastAsia"/>
          <w:b w:val="0"/>
          <w:bCs w:val="0"/>
        </w:rPr>
        <w:t>政府性基金预算支出决算情况说明</w:t>
      </w:r>
    </w:p>
    <w:p>
      <w:pPr>
        <w:autoSpaceDN w:val="0"/>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年政府性基金预算拨款支出85.33万元。</w:t>
      </w:r>
    </w:p>
    <w:p>
      <w:pPr>
        <w:pStyle w:val="2"/>
        <w:autoSpaceDN w:val="0"/>
        <w:spacing w:before="0" w:after="0" w:line="360" w:lineRule="auto"/>
        <w:ind w:firstLineChars="200" w:firstLine="640"/>
        <w:rPr>
          <w:rStyle w:val="23"/>
          <w:rFonts w:eastAsia="黑体"/>
          <w:b w:val="0"/>
          <w:bCs w:val="0"/>
        </w:rPr>
      </w:pPr>
      <w:bookmarkStart w:id="10" w:name="_九、国有资本经营预算支出决算情况说明"/>
      <w:bookmarkEnd w:id="10"/>
      <w:r>
        <w:rPr>
          <w:rStyle w:val="23"/>
          <w:rFonts w:eastAsia="黑体" w:hint="eastAsia"/>
          <w:b w:val="0"/>
          <w:bCs w:val="0"/>
        </w:rPr>
        <w:t>九、国有资本经营预算支出决算情况说明</w:t>
      </w:r>
    </w:p>
    <w:p>
      <w:pPr>
        <w:autoSpaceDN w:val="0"/>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年国有资本经营预算拨款支出0万元。</w:t>
      </w:r>
    </w:p>
    <w:p>
      <w:pPr>
        <w:pStyle w:val="2"/>
        <w:autoSpaceDN w:val="0"/>
        <w:spacing w:before="0" w:after="0" w:line="360" w:lineRule="auto"/>
        <w:ind w:firstLineChars="196" w:firstLine="627"/>
        <w:rPr>
          <w:rStyle w:val="23"/>
          <w:rFonts w:eastAsia="黑体"/>
        </w:rPr>
      </w:pPr>
      <w:bookmarkStart w:id="11" w:name="_十、其他重要事项的情况说明"/>
      <w:bookmarkEnd w:id="11"/>
      <w:r>
        <w:rPr>
          <w:rFonts w:eastAsia="黑体" w:hint="eastAsia"/>
          <w:color w:val="000000"/>
        </w:rPr>
        <w:t>十</w:t>
      </w:r>
      <w:r>
        <w:rPr>
          <w:rStyle w:val="23"/>
          <w:rFonts w:eastAsia="黑体" w:hint="eastAsia"/>
        </w:rPr>
        <w:t>、</w:t>
      </w:r>
      <w:r>
        <w:rPr>
          <w:rStyle w:val="23"/>
          <w:rFonts w:eastAsia="黑体" w:hint="eastAsia"/>
          <w:b w:val="0"/>
          <w:bCs w:val="0"/>
        </w:rPr>
        <w:t>其他重要事项的情况说明</w:t>
      </w:r>
    </w:p>
    <w:p>
      <w:pPr>
        <w:autoSpaceDN w:val="0"/>
        <w:spacing w:line="360" w:lineRule="auto"/>
        <w:ind w:firstLineChars="200" w:firstLine="640"/>
        <w:outlineLvl w:val="2"/>
        <w:rPr>
          <w:rFonts w:eastAsia="仿宋"/>
          <w:color w:val="000000"/>
          <w:sz w:val="32"/>
          <w:szCs w:val="32"/>
        </w:rPr>
      </w:pPr>
      <w:r>
        <w:rPr>
          <w:rFonts w:eastAsia="仿宋" w:hint="eastAsia"/>
          <w:b/>
          <w:bCs/>
          <w:color w:val="000000"/>
          <w:sz w:val="32"/>
          <w:szCs w:val="32"/>
        </w:rPr>
        <w:t>（一）机关运行经费支出情况</w:t>
      </w:r>
    </w:p>
    <w:p>
      <w:pPr>
        <w:autoSpaceDN w:val="0"/>
        <w:spacing w:line="360" w:lineRule="auto"/>
        <w:ind w:firstLineChars="200" w:firstLine="640"/>
        <w:rPr>
          <w:rFonts w:eastAsia="仿宋_GB2312"/>
          <w:color w:val="000000"/>
          <w:sz w:val="32"/>
          <w:szCs w:val="32"/>
          <w:bdr w:val="none" w:sz="0" w:space="0" w:color="auto"/>
        </w:rPr>
      </w:pPr>
      <w:r>
        <w:rPr>
          <w:rFonts w:eastAsia="仿宋_GB2312"/>
          <w:color w:val="000000"/>
          <w:sz w:val="32"/>
          <w:szCs w:val="32"/>
        </w:rPr>
        <w:t>2020</w:t>
      </w:r>
      <w:r>
        <w:rPr>
          <w:rFonts w:eastAsia="仿宋_GB2312" w:hint="eastAsia"/>
          <w:color w:val="000000"/>
          <w:sz w:val="32"/>
          <w:szCs w:val="32"/>
        </w:rPr>
        <w:t>年，攀枝花市城市管理行政执法局机关运行经费支出125.88万元，比</w:t>
      </w:r>
      <w:r>
        <w:rPr>
          <w:rFonts w:eastAsia="仿宋_GB2312"/>
          <w:color w:val="000000"/>
          <w:sz w:val="32"/>
          <w:szCs w:val="32"/>
        </w:rPr>
        <w:t>201</w:t>
      </w:r>
      <w:r>
        <w:rPr>
          <w:rFonts w:eastAsia="仿宋_GB2312" w:hint="eastAsia"/>
          <w:color w:val="000000"/>
          <w:sz w:val="32"/>
          <w:szCs w:val="32"/>
        </w:rPr>
        <w:t>9年增加27.89万元，</w:t>
      </w:r>
      <w:r>
        <w:rPr>
          <w:rFonts w:eastAsia="仿宋_GB2312"/>
          <w:color w:val="000000"/>
          <w:sz w:val="32"/>
          <w:szCs w:val="32"/>
        </w:rPr>
        <w:t>增长</w:t>
      </w:r>
      <w:r>
        <w:rPr>
          <w:rFonts w:eastAsia="仿宋_GB2312" w:hint="eastAsia"/>
          <w:color w:val="000000"/>
          <w:sz w:val="32"/>
          <w:szCs w:val="32"/>
        </w:rPr>
        <w:t>28.46</w:t>
      </w:r>
      <w:r>
        <w:rPr>
          <w:rFonts w:eastAsia="仿宋_GB2312"/>
          <w:color w:val="000000"/>
          <w:sz w:val="32"/>
          <w:szCs w:val="32"/>
        </w:rPr>
        <w:t>%</w:t>
      </w:r>
      <w:r>
        <w:rPr>
          <w:rFonts w:eastAsia="仿宋_GB2312" w:hint="eastAsia"/>
          <w:color w:val="000000"/>
          <w:sz w:val="32"/>
          <w:szCs w:val="32"/>
        </w:rPr>
        <w:t>，主要原因是因执法体制改革增加了</w:t>
      </w:r>
      <w:r>
        <w:rPr>
          <w:rFonts w:eastAsia="仿宋_GB2312"/>
          <w:color w:val="000000"/>
          <w:sz w:val="32"/>
          <w:szCs w:val="32"/>
        </w:rPr>
        <w:t>工作人员，</w:t>
      </w:r>
      <w:r>
        <w:rPr>
          <w:rFonts w:eastAsia="仿宋_GB2312" w:hint="eastAsia"/>
          <w:color w:val="000000"/>
          <w:sz w:val="32"/>
          <w:szCs w:val="32"/>
        </w:rPr>
        <w:t>机关运行支出</w:t>
      </w:r>
      <w:r>
        <w:rPr>
          <w:rFonts w:eastAsia="仿宋_GB2312"/>
          <w:color w:val="000000"/>
          <w:sz w:val="32"/>
          <w:szCs w:val="32"/>
        </w:rPr>
        <w:t>相应</w:t>
      </w:r>
      <w:r>
        <w:rPr>
          <w:rFonts w:eastAsia="仿宋_GB2312"/>
          <w:color w:val="000000"/>
          <w:sz w:val="32"/>
          <w:szCs w:val="32"/>
          <w:bdr w:val="none" w:sz="0" w:space="0" w:color="auto"/>
        </w:rPr>
        <w:t>增加</w:t>
      </w:r>
      <w:r>
        <w:rPr>
          <w:rFonts w:eastAsia="仿宋_GB2312" w:hint="eastAsia"/>
          <w:color w:val="000000"/>
          <w:sz w:val="32"/>
          <w:szCs w:val="32"/>
          <w:bdr w:val="none" w:sz="0" w:space="0" w:color="auto"/>
        </w:rPr>
        <w:t>。</w:t>
      </w:r>
    </w:p>
    <w:p>
      <w:pPr>
        <w:autoSpaceDE w:val="0"/>
        <w:autoSpaceDN w:val="0"/>
        <w:spacing w:line="360" w:lineRule="auto"/>
        <w:ind w:firstLineChars="200" w:firstLine="640"/>
        <w:jc w:val="left"/>
        <w:outlineLvl w:val="2"/>
        <w:rPr>
          <w:rFonts w:eastAsia="仿宋"/>
          <w:b/>
          <w:bCs/>
          <w:color w:val="000000"/>
          <w:sz w:val="32"/>
          <w:szCs w:val="32"/>
        </w:rPr>
      </w:pPr>
      <w:r>
        <w:rPr>
          <w:rFonts w:eastAsia="仿宋" w:hint="eastAsia"/>
          <w:b/>
          <w:bCs/>
          <w:color w:val="000000"/>
          <w:sz w:val="32"/>
          <w:szCs w:val="32"/>
        </w:rPr>
        <w:t>（二）政府采购支出情况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攀枝花市城市管理行政执法局政府采购支出总额9.75万元，其中：政府采购货物支出6.80万元、政府采购工程支出0万元、政府采购服务支出0万元。主要用于办公设备购置。授予中小企业合同金额6.80万元，占政府采购支出总额的100%，其中：授予小微企业合同金额6.80万元，占政府采购支出总额的100%。</w:t>
      </w:r>
    </w:p>
    <w:p>
      <w:pPr>
        <w:autoSpaceDE w:val="0"/>
        <w:autoSpaceDN w:val="0"/>
        <w:spacing w:line="360" w:lineRule="auto"/>
        <w:ind w:firstLineChars="200" w:firstLine="640"/>
        <w:jc w:val="left"/>
        <w:outlineLvl w:val="2"/>
        <w:rPr>
          <w:rFonts w:eastAsia="仿宋"/>
          <w:b/>
          <w:bCs/>
          <w:color w:val="000000"/>
          <w:sz w:val="32"/>
          <w:szCs w:val="32"/>
        </w:rPr>
      </w:pPr>
      <w:r>
        <w:rPr>
          <w:rFonts w:eastAsia="仿宋" w:hint="eastAsia"/>
          <w:b/>
          <w:bCs/>
          <w:color w:val="000000"/>
          <w:sz w:val="32"/>
          <w:szCs w:val="32"/>
        </w:rPr>
        <w:t>（三）国有资产占有使用情况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截至2020年12月31日，攀枝花市城市管理行政执法局共有车辆2辆，其中：</w:t>
      </w:r>
      <w:r>
        <w:rPr>
          <w:rFonts w:ascii="仿宋_GB2312" w:eastAsia="仿宋_GB2312" w:hint="eastAsia"/>
          <w:color w:val="000000"/>
          <w:sz w:val="32"/>
          <w:szCs w:val="32"/>
        </w:rPr>
        <w:t>主要领导干部用车0辆、机要通信用车1辆、应急保障用车0辆、其他用车1辆，其他用车主要是用于城管执法。单价50万元以上通用设备0台（套），单价100万元以上专用设备0台（套）。</w:t>
      </w:r>
    </w:p>
    <w:p>
      <w:pPr>
        <w:autoSpaceDE w:val="0"/>
        <w:autoSpaceDN w:val="0"/>
        <w:spacing w:line="360" w:lineRule="auto"/>
        <w:ind w:firstLineChars="200" w:firstLine="640"/>
        <w:jc w:val="left"/>
        <w:outlineLvl w:val="2"/>
        <w:rPr>
          <w:rFonts w:eastAsia="仿宋"/>
          <w:b/>
          <w:bCs/>
          <w:color w:val="000000"/>
          <w:sz w:val="32"/>
          <w:szCs w:val="32"/>
        </w:rPr>
      </w:pPr>
      <w:r>
        <w:rPr>
          <w:rFonts w:eastAsia="仿宋" w:hint="eastAsia"/>
          <w:b/>
          <w:bCs/>
          <w:color w:val="000000"/>
          <w:sz w:val="32"/>
          <w:szCs w:val="32"/>
        </w:rPr>
        <w:t>（四）预算绩效管理情况。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根据预算绩效管理要求，攀枝花市城市管理行政执法局在预算编制阶段，组织对 “公益广告宣传维护费”等项目开展了预算事前绩效评估，对各项目编制了绩效目标，预算执行过程中，选取“公益广告宣传维护费”项目开展绩效监控，年终执行完毕后，对“公益广告宣传维护费”项目开展了绩效目标完成情况梳理填报。</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2020年部门整体支出开展绩效自评，从评价情况来看总体效果较好，通过财政资金的使用，加强了城市管理工作，为提升攀枝花城市形象、招商引资、经济发展做出了积极贡献。本部门还自行对“公益广告宣传维护费”进行了项目绩效评价，从评价情况来看能够完成年初制定的绩效目标，能够正确使用财政预算资金，项目完成度较高，完成了年度工作目标，达到了预期效果。</w:t>
      </w:r>
    </w:p>
    <w:p>
      <w:pPr>
        <w:autoSpaceDN w:val="0"/>
        <w:spacing w:line="360" w:lineRule="auto"/>
        <w:ind w:firstLineChars="200" w:firstLine="640"/>
        <w:rPr>
          <w:rFonts w:eastAsia="楷体_GB2312"/>
          <w:sz w:val="32"/>
          <w:szCs w:val="32"/>
        </w:rPr>
      </w:pPr>
      <w:r>
        <w:rPr>
          <w:rFonts w:eastAsia="楷体_GB2312" w:hint="eastAsia"/>
          <w:sz w:val="32"/>
          <w:szCs w:val="32"/>
        </w:rPr>
        <w:t>项目绩效目标完成情况。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本部门在2020年度部门决算中反映 “公益广告宣传维护费”项目绩效目标实际完成情况。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公益广告宣传维护费”项目全年预算数14万元，执行数为14万元，完成预算的100%。通过项目实施，对管辖范围内的公益广告位进行了安全检测、维护维修，保障了管辖范围内的公益广告位安全运营，增加了财政国有资产收益；通过公益广告的发布，保障了市委、市政府安排的公益广告宣传，提升了攀枝花城市形象。</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通过绩效考评，发现的主要问题有：突发情况、临时工作任务较多，经费预测不准确，造成年中追加预算。下一步改进措施：考虑多方因素，尽量准确编制预算。</w:t>
      </w: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p>
      <w:pPr>
        <w:autoSpaceDN w:val="0"/>
        <w:spacing w:line="360" w:lineRule="auto"/>
        <w:ind w:firstLineChars="200" w:firstLine="640"/>
        <w:rPr>
          <w:rFonts w:eastAsia="仿宋_GB2312"/>
          <w:sz w:val="32"/>
          <w:szCs w:val="32"/>
        </w:rPr>
      </w:pPr>
    </w:p>
    <w:tbl>
      <w:tblPr>
        <w:tblpPr w:leftFromText="180" w:rightFromText="180" w:vertAnchor="text" w:horzAnchor="margin" w:tblpXSpec="center" w:tblpY="-1"/>
        <w:tblOverlap w:val="never"/>
        <w:tblW w:w="962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90"/>
        <w:gridCol w:w="948"/>
        <w:gridCol w:w="1106"/>
        <w:gridCol w:w="647"/>
        <w:gridCol w:w="2054"/>
        <w:gridCol w:w="948"/>
        <w:gridCol w:w="1106"/>
        <w:gridCol w:w="2030"/>
      </w:tblGrid>
      <w:tr>
        <w:trPr>
          <w:trHeight w:val="1076"/>
        </w:trPr>
        <w:tc>
          <w:tcPr>
            <w:tcW w:w="9629" w:type="dxa"/>
            <w:gridSpan w:val="8"/>
            <w:tcBorders>
              <w:top w:val="nil"/>
              <w:left w:val="nil"/>
              <w:bottom w:val="nil"/>
              <w:right w:val="nil"/>
            </w:tcBorders>
            <w:tcMar>
              <w:top w:w="15" w:type="dxa"/>
              <w:left w:w="15" w:type="dxa"/>
              <w:right w:w="15" w:type="dxa"/>
            </w:tcMar>
            <w:vAlign w:val="center"/>
          </w:tcPr>
          <w:p>
            <w:pPr>
              <w:widowControl/>
              <w:autoSpaceDN w:val="0"/>
              <w:jc w:val="center"/>
              <w:rPr>
                <w:rFonts w:ascii="宋体" w:cs="宋体"/>
                <w:b/>
                <w:bCs/>
                <w:kern w:val="0"/>
                <w:sz w:val="32"/>
                <w:szCs w:val="32"/>
              </w:rPr>
            </w:pPr>
            <w:r>
              <w:rPr>
                <w:rFonts w:ascii="宋体" w:cs="宋体" w:hint="eastAsia"/>
                <w:b/>
                <w:bCs/>
                <w:kern w:val="0"/>
                <w:sz w:val="32"/>
                <w:szCs w:val="32"/>
              </w:rPr>
              <w:t>公益广告宣传维护费项目支出绩效目标完成情况表</w:t>
              <w:br/>
            </w:r>
            <w:r>
              <w:rPr>
                <w:rFonts w:ascii="宋体" w:cs="宋体" w:hint="eastAsia"/>
                <w:kern w:val="0"/>
                <w:sz w:val="24"/>
              </w:rPr>
              <w:t>(2020 年度)</w:t>
            </w:r>
          </w:p>
        </w:tc>
      </w:tr>
      <w:tr>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项目名称</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sz w:val="20"/>
                <w:szCs w:val="20"/>
              </w:rPr>
              <w:t>公益广告宣传维护费</w:t>
            </w:r>
          </w:p>
        </w:tc>
      </w:tr>
      <w:tr>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预算单位</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sz w:val="20"/>
                <w:szCs w:val="20"/>
              </w:rPr>
              <w:t>攀枝花市城市管理行政执法局</w:t>
            </w:r>
          </w:p>
        </w:tc>
      </w:tr>
      <w:tr>
        <w:trPr>
          <w:trHeight w:val="276"/>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rPr>
                <w:rFonts w:ascii="宋体" w:cs="宋体"/>
                <w:kern w:val="0"/>
                <w:sz w:val="20"/>
                <w:szCs w:val="20"/>
              </w:rPr>
            </w:pPr>
            <w:r>
              <w:rPr>
                <w:rFonts w:ascii="宋体" w:cs="宋体" w:hint="eastAsia"/>
                <w:kern w:val="0"/>
                <w:sz w:val="20"/>
                <w:szCs w:val="20"/>
              </w:rPr>
              <w:t>项目资金</w:t>
              <w:br/>
              <w:t>（万元）</w:t>
            </w: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rPr>
                <w:rFonts w:ascii="宋体" w:cs="宋体"/>
                <w:kern w:val="0"/>
                <w:sz w:val="20"/>
                <w:szCs w:val="20"/>
              </w:rPr>
            </w:pPr>
            <w:r>
              <w:rPr>
                <w:rFonts w:ascii="宋体" w:cs="宋体" w:hint="eastAsia"/>
                <w:kern w:val="0"/>
                <w:sz w:val="20"/>
                <w:szCs w:val="20"/>
              </w:rPr>
              <w:t>　</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rPr>
                <w:rFonts w:ascii="宋体" w:cs="宋体"/>
                <w:kern w:val="0"/>
                <w:sz w:val="20"/>
                <w:szCs w:val="20"/>
              </w:rPr>
            </w:pPr>
            <w:r>
              <w:rPr>
                <w:rFonts w:ascii="宋体" w:cs="宋体" w:hint="eastAsia"/>
                <w:kern w:val="0"/>
                <w:sz w:val="20"/>
                <w:szCs w:val="20"/>
              </w:rPr>
              <w:t>全年预算数</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rPr>
                <w:rFonts w:ascii="宋体" w:cs="宋体"/>
                <w:kern w:val="0"/>
                <w:sz w:val="20"/>
                <w:szCs w:val="20"/>
              </w:rPr>
            </w:pPr>
            <w:r>
              <w:rPr>
                <w:rFonts w:ascii="宋体" w:cs="宋体" w:hint="eastAsia"/>
                <w:kern w:val="0"/>
                <w:sz w:val="20"/>
                <w:szCs w:val="20"/>
              </w:rPr>
              <w:t>实际完成数</w:t>
            </w:r>
          </w:p>
        </w:tc>
      </w:tr>
      <w:tr>
        <w:trPr>
          <w:trHeight w:val="276"/>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kern w:val="0"/>
                <w:sz w:val="20"/>
                <w:szCs w:val="20"/>
              </w:rPr>
              <w:t>年度资金总额：</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kern w:val="0"/>
                <w:sz w:val="20"/>
                <w:szCs w:val="20"/>
              </w:rPr>
              <w:t>14</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kern w:val="0"/>
                <w:sz w:val="20"/>
                <w:szCs w:val="20"/>
              </w:rPr>
            </w:pPr>
            <w:r>
              <w:rPr>
                <w:rFonts w:ascii="宋体" w:cs="宋体" w:hint="eastAsia"/>
                <w:kern w:val="0"/>
                <w:sz w:val="20"/>
                <w:szCs w:val="20"/>
              </w:rPr>
              <w:t>14</w:t>
            </w:r>
          </w:p>
        </w:tc>
      </w:tr>
      <w:tr>
        <w:trPr>
          <w:trHeight w:val="320"/>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kern w:val="0"/>
                <w:sz w:val="20"/>
                <w:szCs w:val="20"/>
              </w:rPr>
              <w:t xml:space="preserve"> 其中：上级财政资金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kern w:val="0"/>
                <w:sz w:val="20"/>
                <w:szCs w:val="20"/>
              </w:rPr>
              <w:t>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kern w:val="0"/>
                <w:sz w:val="20"/>
                <w:szCs w:val="20"/>
              </w:rPr>
            </w:pPr>
            <w:r>
              <w:rPr>
                <w:rFonts w:ascii="宋体" w:cs="宋体" w:hint="eastAsia"/>
                <w:kern w:val="0"/>
                <w:sz w:val="20"/>
                <w:szCs w:val="20"/>
              </w:rPr>
              <w:t>　</w:t>
            </w:r>
          </w:p>
        </w:tc>
      </w:tr>
      <w:tr>
        <w:trPr>
          <w:trHeight w:val="605"/>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left"/>
              <w:rPr>
                <w:rFonts w:ascii="宋体" w:cs="宋体"/>
                <w:kern w:val="0"/>
                <w:sz w:val="20"/>
                <w:szCs w:val="20"/>
              </w:rPr>
            </w:pPr>
            <w:r>
              <w:rPr>
                <w:rFonts w:ascii="宋体" w:cs="宋体" w:hint="eastAsia"/>
                <w:kern w:val="0"/>
                <w:sz w:val="20"/>
                <w:szCs w:val="20"/>
              </w:rPr>
              <w:t xml:space="preserve">           本级财政资金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rPr>
                <w:rFonts w:ascii="宋体" w:cs="宋体"/>
                <w:kern w:val="0"/>
                <w:sz w:val="20"/>
                <w:szCs w:val="20"/>
              </w:rPr>
            </w:pPr>
            <w:r>
              <w:rPr>
                <w:rFonts w:ascii="宋体" w:cs="宋体" w:hint="eastAsia"/>
                <w:kern w:val="0"/>
                <w:sz w:val="20"/>
                <w:szCs w:val="20"/>
              </w:rPr>
              <w:t>14</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kern w:val="0"/>
                <w:sz w:val="20"/>
                <w:szCs w:val="20"/>
              </w:rPr>
            </w:pPr>
            <w:r>
              <w:rPr>
                <w:rFonts w:ascii="宋体" w:cs="宋体" w:hint="eastAsia"/>
                <w:kern w:val="0"/>
                <w:sz w:val="20"/>
                <w:szCs w:val="20"/>
              </w:rPr>
              <w:t>14</w:t>
            </w:r>
          </w:p>
        </w:tc>
      </w:tr>
      <w:tr>
        <w:trPr>
          <w:trHeight w:val="431"/>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left"/>
              <w:rPr>
                <w:rFonts w:ascii="宋体" w:cs="宋体"/>
                <w:kern w:val="0"/>
                <w:sz w:val="20"/>
                <w:szCs w:val="20"/>
              </w:rPr>
            </w:pPr>
            <w:r>
              <w:rPr>
                <w:rFonts w:ascii="宋体" w:cs="宋体" w:hint="eastAsia"/>
                <w:kern w:val="0"/>
                <w:sz w:val="20"/>
                <w:szCs w:val="20"/>
              </w:rPr>
              <w:t xml:space="preserve">           其他资金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left"/>
              <w:rPr>
                <w:rFonts w:ascii="宋体" w:cs="宋体"/>
                <w:kern w:val="0"/>
                <w:sz w:val="20"/>
                <w:szCs w:val="20"/>
              </w:rPr>
            </w:pPr>
            <w:r>
              <w:rPr>
                <w:rFonts w:ascii="宋体" w:cs="宋体" w:hint="eastAsia"/>
                <w:kern w:val="0"/>
                <w:sz w:val="20"/>
                <w:szCs w:val="20"/>
              </w:rPr>
              <w:t>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left"/>
              <w:rPr>
                <w:rFonts w:ascii="宋体" w:cs="宋体"/>
                <w:kern w:val="0"/>
                <w:sz w:val="20"/>
                <w:szCs w:val="20"/>
              </w:rPr>
            </w:pPr>
            <w:r>
              <w:rPr>
                <w:rFonts w:ascii="宋体" w:cs="宋体" w:hint="eastAsia"/>
                <w:kern w:val="0"/>
                <w:sz w:val="20"/>
                <w:szCs w:val="20"/>
              </w:rPr>
              <w:t>　　</w:t>
            </w:r>
          </w:p>
        </w:tc>
      </w:tr>
      <w:tr>
        <w:trPr>
          <w:trHeight w:val="591"/>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年度目标完成情况</w:t>
            </w: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预期目标</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jc w:val="center"/>
              <w:textAlignment w:val="center"/>
              <w:rPr>
                <w:rFonts w:ascii="宋体" w:cs="宋体"/>
                <w:color w:val="000000"/>
                <w:sz w:val="20"/>
                <w:szCs w:val="20"/>
              </w:rPr>
            </w:pPr>
            <w:r>
              <w:rPr>
                <w:rFonts w:ascii="宋体" w:cs="宋体" w:hint="eastAsia"/>
                <w:color w:val="000000"/>
                <w:kern w:val="0"/>
                <w:sz w:val="20"/>
                <w:szCs w:val="20"/>
              </w:rPr>
              <w:t>实际完成目标</w:t>
            </w:r>
          </w:p>
        </w:tc>
      </w:tr>
      <w:tr>
        <w:trPr>
          <w:trHeight w:val="890"/>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定期完成广告载体安全检测和维护维修，及时完成市委、市政府安排的公益广告宣传任务。</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完成了广告载体安全检测和维护维修年度任务，及时完成了市委、市政府、市委宣传部安排的公益广告宣传任务。为"中国阳光花城"、"中国康养胜地"建设创造了良好的社会环境，基本达到年度预期目标。</w:t>
            </w:r>
          </w:p>
        </w:tc>
      </w:tr>
      <w:tr>
        <w:trPr>
          <w:trHeight w:val="772"/>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绩效指标完成情况</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一级指标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kern w:val="0"/>
                <w:sz w:val="20"/>
                <w:szCs w:val="20"/>
              </w:rPr>
              <w:t>二级指标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kern w:val="0"/>
                <w:sz w:val="20"/>
                <w:szCs w:val="20"/>
              </w:rPr>
              <w:t>三级指标</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kern w:val="0"/>
                <w:sz w:val="20"/>
                <w:szCs w:val="20"/>
              </w:rPr>
              <w:t>预期指标值(包含数字及文字描述)</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kern w:val="0"/>
                <w:sz w:val="20"/>
                <w:szCs w:val="20"/>
              </w:rPr>
              <w:t>实际完成指标值(包含数字及文字描述)</w:t>
            </w:r>
          </w:p>
        </w:tc>
      </w:tr>
      <w:tr>
        <w:trPr>
          <w:trHeight w:val="953"/>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数量指标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更换公益广告画面</w:t>
            </w:r>
          </w:p>
          <w:p>
            <w:pPr>
              <w:widowControl/>
              <w:autoSpaceDN w:val="0"/>
              <w:textAlignment w:val="center"/>
              <w:rPr>
                <w:rFonts w:ascii="宋体" w:cs="宋体"/>
                <w:color w:val="000000"/>
                <w:sz w:val="20"/>
                <w:szCs w:val="20"/>
              </w:rPr>
            </w:pPr>
            <w:r>
              <w:rPr>
                <w:rFonts w:ascii="宋体" w:cs="宋体" w:hint="eastAsia"/>
                <w:color w:val="000000"/>
                <w:sz w:val="20"/>
                <w:szCs w:val="20"/>
              </w:rPr>
              <w:t>公益广告维护维修</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更换画面28幅</w:t>
            </w:r>
          </w:p>
          <w:p>
            <w:pPr>
              <w:widowControl/>
              <w:autoSpaceDN w:val="0"/>
              <w:textAlignment w:val="center"/>
              <w:rPr>
                <w:rFonts w:ascii="宋体" w:cs="宋体"/>
                <w:color w:val="000000"/>
                <w:sz w:val="20"/>
                <w:szCs w:val="20"/>
              </w:rPr>
            </w:pPr>
            <w:r>
              <w:rPr>
                <w:rFonts w:ascii="宋体" w:cs="宋体" w:hint="eastAsia"/>
                <w:color w:val="000000"/>
                <w:sz w:val="20"/>
                <w:szCs w:val="20"/>
              </w:rPr>
              <w:t>维修维护单立柱10根，广告牌5块</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sz w:val="20"/>
                <w:szCs w:val="20"/>
              </w:rPr>
            </w:pPr>
            <w:r>
              <w:rPr>
                <w:rFonts w:ascii="宋体" w:cs="宋体" w:hint="eastAsia"/>
                <w:color w:val="000000"/>
                <w:sz w:val="20"/>
                <w:szCs w:val="20"/>
              </w:rPr>
              <w:t>更换画面28幅</w:t>
            </w:r>
            <w:r>
              <w:rPr>
                <w:rFonts w:ascii="宋体" w:cs="宋体" w:hint="eastAsia"/>
                <w:sz w:val="20"/>
                <w:szCs w:val="20"/>
              </w:rPr>
              <w:t xml:space="preserve"> </w:t>
            </w:r>
          </w:p>
          <w:p>
            <w:pPr>
              <w:widowControl/>
              <w:autoSpaceDN w:val="0"/>
              <w:textAlignment w:val="center"/>
              <w:rPr>
                <w:rFonts w:ascii="宋体" w:cs="宋体"/>
                <w:color w:val="000000"/>
                <w:sz w:val="20"/>
                <w:szCs w:val="20"/>
              </w:rPr>
            </w:pPr>
            <w:r>
              <w:rPr>
                <w:rFonts w:ascii="宋体" w:cs="宋体" w:hint="eastAsia"/>
                <w:color w:val="000000"/>
                <w:sz w:val="20"/>
                <w:szCs w:val="20"/>
              </w:rPr>
              <w:t>维修维护单立柱10根，广告牌5块</w:t>
            </w:r>
          </w:p>
        </w:tc>
      </w:tr>
      <w:tr>
        <w:trPr>
          <w:trHeight w:val="883"/>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质量指标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公益广告制作合格率</w:t>
            </w:r>
          </w:p>
          <w:p>
            <w:pPr>
              <w:widowControl/>
              <w:autoSpaceDN w:val="0"/>
              <w:textAlignment w:val="center"/>
              <w:rPr>
                <w:rFonts w:ascii="宋体" w:cs="宋体"/>
                <w:color w:val="000000"/>
                <w:sz w:val="20"/>
                <w:szCs w:val="20"/>
              </w:rPr>
            </w:pPr>
            <w:r>
              <w:rPr>
                <w:rFonts w:ascii="宋体" w:cs="宋体" w:hint="eastAsia"/>
                <w:color w:val="000000"/>
                <w:sz w:val="20"/>
                <w:szCs w:val="20"/>
              </w:rPr>
              <w:t>公益广告位安全运行</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合格率≧100%</w:t>
            </w:r>
          </w:p>
          <w:p>
            <w:pPr>
              <w:widowControl/>
              <w:autoSpaceDN w:val="0"/>
              <w:textAlignment w:val="center"/>
              <w:rPr>
                <w:rFonts w:ascii="宋体" w:cs="宋体"/>
                <w:color w:val="000000"/>
                <w:sz w:val="20"/>
                <w:szCs w:val="20"/>
              </w:rPr>
            </w:pPr>
            <w:r>
              <w:rPr>
                <w:rFonts w:ascii="宋体" w:cs="宋体" w:hint="eastAsia"/>
                <w:color w:val="000000"/>
                <w:sz w:val="20"/>
                <w:szCs w:val="20"/>
              </w:rPr>
              <w:t>安全运行≧100%</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合格率100%</w:t>
            </w:r>
          </w:p>
          <w:p>
            <w:pPr>
              <w:widowControl/>
              <w:autoSpaceDN w:val="0"/>
              <w:textAlignment w:val="center"/>
              <w:rPr>
                <w:rFonts w:ascii="宋体" w:cs="宋体"/>
                <w:color w:val="000000"/>
                <w:sz w:val="20"/>
                <w:szCs w:val="20"/>
              </w:rPr>
            </w:pPr>
            <w:r>
              <w:rPr>
                <w:rFonts w:ascii="宋体" w:cs="宋体" w:hint="eastAsia"/>
                <w:color w:val="000000"/>
                <w:sz w:val="20"/>
                <w:szCs w:val="20"/>
              </w:rPr>
              <w:t>安全运行100%</w:t>
            </w:r>
          </w:p>
        </w:tc>
      </w:tr>
      <w:tr>
        <w:trPr>
          <w:trHeight w:val="808"/>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时效指标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完成时间节点</w:t>
            </w:r>
          </w:p>
          <w:p>
            <w:pPr>
              <w:widowControl/>
              <w:autoSpaceDN w:val="0"/>
              <w:textAlignment w:val="center"/>
              <w:rPr>
                <w:rFonts w:ascii="宋体" w:cs="宋体"/>
                <w:color w:val="000000"/>
                <w:sz w:val="20"/>
                <w:szCs w:val="20"/>
              </w:rPr>
            </w:pPr>
            <w:r>
              <w:rPr>
                <w:rFonts w:ascii="宋体" w:cs="宋体" w:hint="eastAsia"/>
                <w:color w:val="000000"/>
                <w:sz w:val="20"/>
                <w:szCs w:val="20"/>
              </w:rPr>
              <w:t>资金支付进度</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2020年1-12月</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2020年1-12月</w:t>
            </w:r>
          </w:p>
        </w:tc>
      </w:tr>
      <w:tr>
        <w:trPr>
          <w:trHeight w:val="729"/>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kern w:val="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成本指标</w:t>
            </w:r>
          </w:p>
        </w:tc>
        <w:tc>
          <w:tcPr>
            <w:tcW w:w="2701"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公益广告发布</w:t>
            </w:r>
          </w:p>
          <w:p>
            <w:pPr>
              <w:widowControl/>
              <w:autoSpaceDN w:val="0"/>
              <w:textAlignment w:val="center"/>
              <w:rPr>
                <w:rFonts w:ascii="宋体" w:cs="宋体"/>
                <w:color w:val="000000"/>
                <w:sz w:val="20"/>
                <w:szCs w:val="20"/>
              </w:rPr>
            </w:pPr>
            <w:r>
              <w:rPr>
                <w:rFonts w:ascii="宋体" w:cs="宋体" w:hint="eastAsia"/>
                <w:color w:val="000000"/>
                <w:sz w:val="20"/>
                <w:szCs w:val="20"/>
              </w:rPr>
              <w:t>维护成本</w:t>
            </w:r>
          </w:p>
        </w:tc>
        <w:tc>
          <w:tcPr>
            <w:tcW w:w="205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发布预计6.1万元</w:t>
            </w:r>
          </w:p>
          <w:p>
            <w:pPr>
              <w:widowControl/>
              <w:autoSpaceDN w:val="0"/>
              <w:textAlignment w:val="center"/>
              <w:rPr>
                <w:rFonts w:ascii="宋体" w:cs="宋体"/>
                <w:color w:val="000000"/>
                <w:sz w:val="20"/>
                <w:szCs w:val="20"/>
              </w:rPr>
            </w:pPr>
            <w:r>
              <w:rPr>
                <w:rFonts w:ascii="宋体" w:cs="宋体" w:hint="eastAsia"/>
                <w:color w:val="000000"/>
                <w:sz w:val="20"/>
                <w:szCs w:val="20"/>
              </w:rPr>
              <w:t>维护成本预计7.9万元</w:t>
            </w:r>
          </w:p>
        </w:tc>
        <w:tc>
          <w:tcPr>
            <w:tcW w:w="20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发布6.1万元</w:t>
            </w:r>
          </w:p>
          <w:p>
            <w:pPr>
              <w:widowControl/>
              <w:autoSpaceDN w:val="0"/>
              <w:textAlignment w:val="center"/>
              <w:rPr>
                <w:rFonts w:ascii="宋体" w:cs="宋体"/>
                <w:color w:val="000000"/>
                <w:sz w:val="20"/>
                <w:szCs w:val="20"/>
              </w:rPr>
            </w:pPr>
            <w:r>
              <w:rPr>
                <w:rFonts w:ascii="宋体" w:cs="宋体" w:hint="eastAsia"/>
                <w:color w:val="000000"/>
                <w:sz w:val="20"/>
                <w:szCs w:val="20"/>
              </w:rPr>
              <w:t>维护成本7.9万元</w:t>
            </w:r>
          </w:p>
        </w:tc>
      </w:tr>
      <w:tr>
        <w:trPr>
          <w:trHeight w:val="398"/>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效益指标</w:t>
            </w:r>
          </w:p>
        </w:tc>
        <w:tc>
          <w:tcPr>
            <w:tcW w:w="110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经济效益</w:t>
            </w:r>
          </w:p>
          <w:p>
            <w:pPr>
              <w:widowControl/>
              <w:autoSpaceDN w:val="0"/>
              <w:textAlignment w:val="center"/>
              <w:rPr>
                <w:rFonts w:ascii="宋体" w:cs="宋体"/>
                <w:color w:val="000000"/>
                <w:sz w:val="20"/>
                <w:szCs w:val="20"/>
              </w:rPr>
            </w:pPr>
            <w:r>
              <w:rPr>
                <w:rFonts w:ascii="宋体" w:cs="宋体" w:hint="eastAsia"/>
                <w:color w:val="000000"/>
                <w:sz w:val="20"/>
                <w:szCs w:val="20"/>
              </w:rPr>
              <w:t>指标</w:t>
            </w:r>
          </w:p>
        </w:tc>
        <w:tc>
          <w:tcPr>
            <w:tcW w:w="2701"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广告位拍卖收入</w:t>
            </w:r>
          </w:p>
        </w:tc>
        <w:tc>
          <w:tcPr>
            <w:tcW w:w="2054"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达到使用标准后拍卖，增加财政收入。</w:t>
            </w:r>
          </w:p>
        </w:tc>
        <w:tc>
          <w:tcPr>
            <w:tcW w:w="203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2020年收入115万元上缴财政。</w:t>
            </w:r>
          </w:p>
        </w:tc>
      </w:tr>
      <w:tr>
        <w:trPr>
          <w:trHeight w:val="1722"/>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vMerge/>
            <w:tcBorders>
              <w:top w:val="single" w:sz="4" w:space="0" w:color="auto"/>
              <w:left w:val="single" w:sz="4" w:space="0" w:color="000000"/>
              <w:bottom w:val="single" w:sz="4" w:space="0" w:color="000000"/>
              <w:right w:val="single" w:sz="4" w:space="0" w:color="000000"/>
            </w:tcBorders>
            <w:vAlign w:val="center"/>
          </w:tcPr>
          <w:p/>
        </w:tc>
        <w:tc>
          <w:tcPr>
            <w:tcW w:w="1106" w:type="dxa"/>
            <w:tcBorders>
              <w:top w:val="single" w:sz="4" w:space="0" w:color="auto"/>
              <w:left w:val="single" w:sz="4" w:space="0" w:color="000000"/>
              <w:bottom w:val="single" w:sz="4" w:space="0" w:color="000000"/>
              <w:right w:val="single" w:sz="4" w:space="0" w:color="000000"/>
            </w:tcBorders>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社会效益</w:t>
            </w:r>
          </w:p>
          <w:p>
            <w:pPr>
              <w:widowControl/>
              <w:autoSpaceDN w:val="0"/>
              <w:textAlignment w:val="center"/>
              <w:rPr>
                <w:rFonts w:ascii="宋体" w:cs="宋体"/>
                <w:color w:val="000000"/>
                <w:sz w:val="20"/>
                <w:szCs w:val="20"/>
              </w:rPr>
            </w:pPr>
            <w:r>
              <w:rPr>
                <w:rFonts w:ascii="宋体" w:cs="宋体" w:hint="eastAsia"/>
                <w:color w:val="000000"/>
                <w:sz w:val="20"/>
                <w:szCs w:val="20"/>
              </w:rPr>
              <w:t>指标</w:t>
            </w:r>
          </w:p>
        </w:tc>
        <w:tc>
          <w:tcPr>
            <w:tcW w:w="2701" w:type="dxa"/>
            <w:gridSpan w:val="2"/>
            <w:tcBorders>
              <w:top w:val="single" w:sz="4" w:space="0" w:color="auto"/>
              <w:left w:val="single" w:sz="4" w:space="0" w:color="000000"/>
              <w:bottom w:val="single" w:sz="4" w:space="0" w:color="000000"/>
              <w:right w:val="single" w:sz="4" w:space="0" w:color="000000"/>
            </w:tcBorders>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提升公众对相关法律法规、政策、攀枝花市重大事项的知晓度。</w:t>
            </w:r>
          </w:p>
        </w:tc>
        <w:tc>
          <w:tcPr>
            <w:tcW w:w="2054" w:type="dxa"/>
            <w:gridSpan w:val="2"/>
            <w:tcBorders>
              <w:top w:val="single" w:sz="4" w:space="0" w:color="auto"/>
              <w:left w:val="single" w:sz="4" w:space="0" w:color="000000"/>
              <w:bottom w:val="single" w:sz="4" w:space="0" w:color="000000"/>
              <w:right w:val="single" w:sz="4" w:space="0" w:color="000000"/>
            </w:tcBorders>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让市民了解国家、省、市的政策方针、法律法规及政府工作动态。</w:t>
            </w:r>
          </w:p>
        </w:tc>
        <w:tc>
          <w:tcPr>
            <w:tcW w:w="2030" w:type="dxa"/>
            <w:tcBorders>
              <w:top w:val="single" w:sz="4" w:space="0" w:color="auto"/>
              <w:left w:val="single" w:sz="4" w:space="0" w:color="000000"/>
              <w:bottom w:val="single" w:sz="4" w:space="0" w:color="000000"/>
              <w:right w:val="single" w:sz="4" w:space="0" w:color="000000"/>
            </w:tcBorders>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达到预期目标</w:t>
            </w:r>
          </w:p>
        </w:tc>
      </w:tr>
      <w:tr>
        <w:trPr>
          <w:trHeight w:val="460"/>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pacing w:val="-20"/>
                <w:sz w:val="20"/>
                <w:szCs w:val="20"/>
              </w:rPr>
            </w:pPr>
            <w:r>
              <w:rPr>
                <w:rFonts w:ascii="宋体" w:cs="宋体" w:hint="eastAsia"/>
                <w:color w:val="000000"/>
                <w:spacing w:val="-20"/>
                <w:kern w:val="0"/>
                <w:sz w:val="20"/>
                <w:szCs w:val="20"/>
              </w:rPr>
              <w:t>满意度指标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满意度指标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服务对象、主管部门满意度</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达到基本满意及以上</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autoSpaceDN w:val="0"/>
              <w:textAlignment w:val="center"/>
              <w:rPr>
                <w:rFonts w:ascii="宋体" w:cs="宋体"/>
                <w:color w:val="000000"/>
                <w:sz w:val="20"/>
                <w:szCs w:val="20"/>
              </w:rPr>
            </w:pPr>
            <w:r>
              <w:rPr>
                <w:rFonts w:ascii="宋体" w:cs="宋体" w:hint="eastAsia"/>
                <w:color w:val="000000"/>
                <w:sz w:val="20"/>
                <w:szCs w:val="20"/>
              </w:rPr>
              <w:t>满意</w:t>
            </w:r>
          </w:p>
        </w:tc>
      </w:tr>
    </w:tbl>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2.部门绩效评价结果。</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本部门按要求对2020年部门整体支出绩效评价情况开展自评，《攀枝花市城市管理行政执法局（本级）2020年度部门整体支出绩效评价报告》见附件（附件1）。</w:t>
        <w:tab/>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本部门自行组织对“公益广告宣传维护费”开展了绩效评价，《公益广告宣传维护费</w:t>
      </w:r>
      <w:r>
        <w:rPr>
          <w:rFonts w:ascii="仿宋_GB2312" w:eastAsia="仿宋_GB2312" w:cs="仿宋_GB2312" w:hint="eastAsia"/>
          <w:sz w:val="32"/>
          <w:szCs w:val="32"/>
          <w:bdr w:val="none" w:sz="0" w:space="0" w:color="auto"/>
        </w:rPr>
        <w:t>项目支出绩效自评报告</w:t>
      </w:r>
      <w:r>
        <w:rPr>
          <w:rFonts w:ascii="仿宋_GB2312" w:eastAsia="仿宋_GB2312" w:cs="仿宋_GB2312" w:hint="eastAsia"/>
          <w:sz w:val="32"/>
          <w:szCs w:val="32"/>
        </w:rPr>
        <w:t>》见附件（附件2）。</w:t>
      </w:r>
    </w:p>
    <w:p>
      <w:pPr>
        <w:widowControl/>
        <w:autoSpaceDN w:val="0"/>
        <w:spacing w:line="360" w:lineRule="auto"/>
        <w:jc w:val="center"/>
        <w:rPr>
          <w:rFonts w:eastAsia="黑体"/>
          <w:color w:val="000000"/>
          <w:sz w:val="44"/>
          <w:szCs w:val="44"/>
        </w:rPr>
      </w:pPr>
      <w:r>
        <w:rPr>
          <w:rFonts w:ascii="仿宋_GB2312" w:eastAsia="仿宋_GB2312" w:cs="仿宋_GB2312"/>
          <w:sz w:val="32"/>
          <w:szCs w:val="32"/>
        </w:rPr>
        <w:br w:type="page"/>
      </w:r>
      <w:r>
        <w:rPr>
          <w:rFonts w:eastAsia="黑体" w:hint="eastAsia"/>
          <w:color w:val="000000"/>
          <w:sz w:val="44"/>
          <w:szCs w:val="44"/>
        </w:rPr>
        <w:t>第三部分   名词解释</w:t>
      </w:r>
    </w:p>
    <w:p>
      <w:pPr>
        <w:autoSpaceDN w:val="0"/>
        <w:spacing w:line="360" w:lineRule="auto"/>
        <w:jc w:val="left"/>
        <w:rPr>
          <w:b/>
          <w:bCs/>
          <w:color w:val="000000"/>
          <w:sz w:val="44"/>
          <w:szCs w:val="44"/>
        </w:rPr>
      </w:pP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1.财政拨款收入：指单位从同级财政部门取得的财政预算资金。</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2.事业收入：指事业单位开展专业业务活动及辅助活动取得的收入。</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3.经营收入：指事业单位在专业业务活动及其辅助活动之外开展非独立核算经营活动取得的收入。</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4.其他收入：指单位取得的除上述收入以外的各项收入。</w:t>
      </w:r>
    </w:p>
    <w:p>
      <w:pPr>
        <w:pStyle w:val="21"/>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5.使用非财政拨款结余：指事业单位使用以前年度积累的非财政拨款结余弥补当年收支差额的金额。 </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6.年初结转和结余：指以前年度尚未完成、结转到本年按有关规定继续使用的资金。 </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7.结余分配：指事业单位按照事业单位会计制度的规定从非财政补助结余中分配的事业基金和职工福利基金等。</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8、年末结转和结余：指单位按有关规定结转到下年或以后年度继续使用的资金。</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9.一般公共事务支出（类）人力资源事务（款）其他人力资源事务支出（项）：指反映其他用于其他人力资源事务方面的支出。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10. 一般公共事务支出（类）组织事务（款）其他组织事务支出（项）：指反映其他用于中国共产党组织部门事务方面的支出。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11. 社会保障和就业支出（类）行政事业单位养老支出（款）行政单位离退休（项）：指反映行政单位（包括实行公务员管理的事业单位）开支的离退休经费。</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12.社会保障和就业支出（类）行政事业单位养老支出（款）机关事业单位基本养老保险缴费支出（项）：指机关事业单位实施养老保险制度由单位缴纳的基本养老保险支出。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13.社会保障和就业支出（类）社会福利（款）儿童福利（项）：指反映对儿童提供福利服务方面的支出。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14.卫生健康支出（类）行政事业单位医疗（款）行政单位医疗（项）：</w:t>
      </w:r>
      <w:r>
        <w:rPr>
          <w:rFonts w:ascii="仿宋_GB2312" w:eastAsia="仿宋_GB2312" w:cs="仿宋_GB2312"/>
          <w:sz w:val="32"/>
          <w:szCs w:val="32"/>
        </w:rPr>
        <w:t>指</w:t>
      </w:r>
      <w:r>
        <w:rPr>
          <w:rFonts w:ascii="仿宋_GB2312" w:eastAsia="仿宋_GB2312" w:cs="仿宋_GB2312" w:hint="eastAsia"/>
          <w:sz w:val="32"/>
          <w:szCs w:val="32"/>
        </w:rPr>
        <w:t>财政部门安排的行政单位（包括实行公务员管理的事业单位）基本医疗保险缴费经费，未参加医疗保险的行政单位的公费医疗经费，按国家规定享受离休人员、红军老战士待遇人员的医疗经费。</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15.卫生健康支出（类）行政事业单位医疗（款）公务员医疗补助（项）:指财政部门安排的公务员医疗补助经费。</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16.城乡社区支出（类）城乡社区管理事务（款）行政运行（项）：指反映城乡社区管理行政单位的基本支出。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17.城乡社区支出（类）城乡社区管理事务（款）一般行政管理事务（项）：指反映城乡社区管理行政单位未单独设置项级科目的其他项目支出。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18.城乡社区支出（类）城乡社区管理事务（款）其他城乡社区管理事务支出（项）：指反映其他用于城乡社区管理事务方面的支出。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19.城乡社区支出（类）城市基础设施配套费及对应专项债务收入安排的支出（款）其他城市基础设施配套费安排的支出（项）：指反映其他的城市基础设施配套费支出。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 住房保障支出（类）住房改革支出（款）住房公积金（项）：指反映行政事业单位按人力资源和社会保障部、财政部规定的基本工资和津贴补贴以及规定比例为职工缴纳的住房公积金。</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21.基本支出：指为保障机构正常运转、完成日常工作任务而发生的人员支出和公用支出。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1"/>
        <w:adjustRightInd/>
        <w:spacing w:line="360" w:lineRule="auto"/>
        <w:ind w:firstLineChars="200" w:firstLine="640"/>
        <w:rPr>
          <w:rFonts w:ascii="Times New Roman" w:eastAsia="仿宋_GB2312" w:cs="Times New Roman" w:hAnsi="Times New Roman"/>
          <w:sz w:val="32"/>
          <w:szCs w:val="32"/>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pageBreakBefore/>
        <w:widowControl w:val="0"/>
        <w:autoSpaceDN w:val="0"/>
        <w:spacing w:line="360" w:lineRule="auto"/>
        <w:jc w:val="center"/>
        <w:outlineLvl w:val="0"/>
        <w:rPr>
          <w:rStyle w:val="22"/>
        </w:rPr>
      </w:pPr>
      <w:r>
        <w:rPr>
          <w:rFonts w:eastAsia="黑体" w:hint="eastAsia"/>
          <w:color w:val="000000"/>
          <w:sz w:val="44"/>
          <w:szCs w:val="44"/>
        </w:rPr>
        <w:t>第</w:t>
      </w:r>
      <w:r>
        <w:rPr>
          <w:rStyle w:val="22"/>
          <w:rFonts w:eastAsia="黑体" w:hint="eastAsia"/>
          <w:sz w:val="44"/>
          <w:szCs w:val="44"/>
        </w:rPr>
        <w:t>四部分</w:t>
      </w:r>
      <w:r>
        <w:rPr>
          <w:rStyle w:val="22"/>
          <w:rFonts w:eastAsia="黑体"/>
          <w:sz w:val="44"/>
          <w:szCs w:val="44"/>
        </w:rPr>
        <w:t xml:space="preserve"> </w:t>
      </w:r>
      <w:r>
        <w:rPr>
          <w:rStyle w:val="22"/>
          <w:rFonts w:eastAsia="黑体" w:hint="eastAsia"/>
          <w:sz w:val="44"/>
          <w:szCs w:val="44"/>
        </w:rPr>
        <w:t>附件</w:t>
      </w:r>
    </w:p>
    <w:p>
      <w:pPr>
        <w:autoSpaceDN w:val="0"/>
        <w:spacing w:line="360" w:lineRule="auto"/>
        <w:jc w:val="left"/>
        <w:outlineLvl w:val="0"/>
        <w:rPr>
          <w:rFonts w:eastAsia="方正小标宋简体"/>
          <w:sz w:val="32"/>
          <w:szCs w:val="32"/>
        </w:rPr>
      </w:pPr>
      <w:r>
        <w:rPr>
          <w:rFonts w:eastAsia="黑体" w:hint="eastAsia"/>
          <w:sz w:val="32"/>
          <w:szCs w:val="32"/>
        </w:rPr>
        <w:t>附件</w:t>
      </w:r>
      <w:r>
        <w:rPr>
          <w:rFonts w:eastAsia="黑体"/>
          <w:sz w:val="32"/>
          <w:szCs w:val="32"/>
        </w:rPr>
        <w:t>1</w:t>
      </w:r>
    </w:p>
    <w:p>
      <w:pPr>
        <w:autoSpaceDN w:val="0"/>
        <w:spacing w:line="360" w:lineRule="auto"/>
        <w:jc w:val="center"/>
        <w:rPr>
          <w:rFonts w:eastAsia="方正小标宋简体"/>
          <w:sz w:val="44"/>
          <w:szCs w:val="44"/>
        </w:rPr>
      </w:pPr>
    </w:p>
    <w:p>
      <w:pPr>
        <w:pStyle w:val="17"/>
        <w:autoSpaceDN w:val="0"/>
        <w:spacing w:line="360" w:lineRule="auto"/>
        <w:jc w:val="center"/>
        <w:rPr>
          <w:rFonts w:ascii="新宋体" w:eastAsia="新宋体" w:cs="Times New Roman"/>
          <w:b/>
          <w:bCs/>
          <w:sz w:val="44"/>
          <w:szCs w:val="44"/>
        </w:rPr>
      </w:pPr>
      <w:r>
        <w:rPr>
          <w:rFonts w:ascii="新宋体" w:eastAsia="新宋体" w:cs="仿宋_GB2312" w:hint="eastAsia"/>
          <w:b/>
          <w:bCs/>
          <w:sz w:val="44"/>
          <w:szCs w:val="44"/>
        </w:rPr>
        <w:t>攀枝花市城市管理行政执法局2020年度部门整体支出绩效评价报告</w:t>
      </w:r>
    </w:p>
    <w:p>
      <w:pPr>
        <w:pStyle w:val="17"/>
        <w:autoSpaceDN w:val="0"/>
        <w:spacing w:line="360" w:lineRule="auto"/>
        <w:ind w:firstLineChars="200" w:firstLine="640"/>
        <w:jc w:val="left"/>
        <w:rPr>
          <w:rFonts w:ascii="Times New Roman" w:eastAsia="黑体" w:cs="Times New Roman" w:hAnsi="Times New Roman"/>
          <w:sz w:val="32"/>
          <w:szCs w:val="32"/>
        </w:rPr>
      </w:pPr>
    </w:p>
    <w:p>
      <w:pPr>
        <w:pStyle w:val="17"/>
        <w:autoSpaceDN w:val="0"/>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一、部门概况</w:t>
      </w:r>
    </w:p>
    <w:p>
      <w:pPr>
        <w:autoSpaceDN w:val="0"/>
        <w:adjustRightIn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攀枝花市城市管理行政执法局是市财政全额拨款的行政单位，承担着全市园林绿化、城管执法、规划执法、燃气管理、数字化监督指挥等城市管理工作。下属二级决算单位5个，其中参照公务员法管理的事业单位2个，其他事业单位3个；攀枝花市城市管理行政执法局本级年末共有在职人员42人。</w:t>
      </w:r>
    </w:p>
    <w:p>
      <w:pPr>
        <w:pStyle w:val="17"/>
        <w:autoSpaceDN w:val="0"/>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二、部门财政资金收支情况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（一）部门财政资金收入情况。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2020年部门预算本年收入数896.11万元，较上年增加了113.05万元，增长14.44%。</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（二）部门财政资金支出情况。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2020年攀枝花市城市管理行政执法局本年支出合计870.51万元，较上年增加了6.44万元，增长39.43%。</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2020年财政资金支出主要用于市容环境卫生管理、城市绿化管理、城管执法、城市数字化管理、城市防洪、燃气供应等公用事业管理方面城市管理工作。</w:t>
      </w:r>
    </w:p>
    <w:p>
      <w:pPr>
        <w:pStyle w:val="17"/>
        <w:autoSpaceDN w:val="0"/>
        <w:spacing w:line="360" w:lineRule="auto"/>
        <w:ind w:firstLineChars="200" w:firstLine="640"/>
        <w:jc w:val="left"/>
        <w:rPr>
          <w:rFonts w:ascii="楷体" w:eastAsia="楷体" w:cs="仿宋_GB2312"/>
          <w:sz w:val="32"/>
          <w:szCs w:val="32"/>
        </w:rPr>
      </w:pPr>
      <w:r>
        <w:rPr>
          <w:rFonts w:ascii="黑体" w:eastAsia="黑体" w:cs="仿宋_GB2312" w:hint="eastAsia"/>
          <w:sz w:val="32"/>
          <w:szCs w:val="32"/>
        </w:rPr>
        <w:t>三、整体预算绩效管理情况</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（一）部门预算管理。</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2020年度攀枝花市城市管理行政执法局财政拨款支出预算896.11万元，当年完成预算财政拨款资金经费支出870.51万元，完成年初预算数的97.14%，绩效目标明确，预算执行中无违规现象发生。</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攀枝花市城市管理行政执法局充分运用绩效考评结果，调整工作方向，加强与财政部门的沟通协调，不断完善财政资金的预算编制工作，并根据相关要求对预算编制中的绩效目标编制和年终的绩效考评结果进行了公开公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（二）结果应用情况。</w:t>
      </w:r>
    </w:p>
    <w:p>
      <w:pPr>
        <w:autoSpaceDN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城市管理行政执法各项工作经费的使用不产生直接的经济效益，而是体现在社会效益。</w:t>
      </w:r>
      <w:r>
        <w:rPr>
          <w:rFonts w:ascii="仿宋_GB2312" w:eastAsia="仿宋_GB2312" w:hint="eastAsia"/>
          <w:sz w:val="32"/>
          <w:szCs w:val="32"/>
        </w:rPr>
        <w:t>城市管理各项工作经费的使用只有少部分产生经济效益， 2020年，我单位通过广告位检测维护后拍卖、行政执法等工作的开展，增加了其他国有资产有偿使用收益115.03万元、一般罚没收入142.80万元。其他大部分项目经费的使用不能产生直接的经济效益，而是体现在社会效益。2020年，市城市管理行政执法局在市委、市政府的正确领导下，紧扣省委对攀枝花的“3+2”新定位新要求和十三五期间的工作思路,深入贯彻落实攀枝花市委市政府决策部署，以“科学规划引领城市建设，精细管理助力经济发展，重典治乱惩治违法行为，优化服务提升民生福祉”为统揽，主动适应城市管理新形势、改革发展新要求、市民群众新期待，不断探索城市管理新举措，夯实文明执法基本功，办好服务群众身边事，有效推动全市城市管理水平的进一步提高和城市品位的不断提升，全市城市管理工作成效明显，多项工作处于全省领先。保证了城市综合执法、城市防洪、公益广告宣传维护、垃圾处理、数字化城管建设、城乡环境综合治理等特定的行政工作任务各项工作的顺利开展。</w:t>
      </w:r>
    </w:p>
    <w:p>
      <w:pPr>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2020年，通过财政预算资金的使用，我单位聚焦机构改革、基础建设、市容环卫、园林绿化；优化审批流程、便民服务、数字城管；强化制度建设、文明执法，着力疫情防控，按期完成原市城管支队、市规建支队和市煤气总公司机构职能改革，强力推进生活垃圾设施、城市煤气管网和入户燃气设施建设，整治城市乱象，整治普速铁路沿线安全环境，全力开展垃圾分类工作，加速公园绿地、城市绿地建设。提高了社会各界的城乡环境意识，督促区（县）加大城乡环境综合治理工作的投入，加强城市管理工作，为提升攀枝花城市形象，招商引资，经济发展做出积极贡献，</w:t>
      </w:r>
      <w:r>
        <w:rPr>
          <w:rFonts w:ascii="仿宋_GB2312" w:eastAsia="仿宋_GB2312" w:cs="仿宋_GB2312" w:hint="eastAsia"/>
          <w:sz w:val="32"/>
          <w:szCs w:val="32"/>
        </w:rPr>
        <w:t>基本完成了年初制定的绩效目标。</w:t>
      </w:r>
    </w:p>
    <w:p>
      <w:pPr>
        <w:pStyle w:val="17"/>
        <w:autoSpaceDN w:val="0"/>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四、评价结论和建议</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（一）评价结论。</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我们认为，2020年我单位资金到位情况良好，保证了城市管理各项工作的顺利进行，我单位在财政资金的使用中能够严格执行会计制度及财政相关规定，通过财政资金的使用，保证了市城市管理各项工作的顺利开展，完成了市委、市政府安排的各项城市管理工作任务，确保攀枝花市顺利通过了省委、省政府城乡环境综合治理各项工作的检查验收，有效地增强了社会各界的城乡环境治理意识，提升了城市形象和城乡居民的生活环境。</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（二）存在问题。</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在本年度预算执行中，存在年中调整预算及年末资金结转下年等问题，主要原因是年初财政资金较紧张，预算安排有缺口，年中追加了部分项目，导致少量资金支付延迟结转下年。</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（三）改进建议。</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在以后的工作中，我们将加强与财政部门对年初部门预算的沟通协调，加强项目管理，多方举措，预防预算执行中的不确定因素，确保财政预算资金的顺利执行。</w:t>
      </w:r>
    </w:p>
    <w:p>
      <w:pPr>
        <w:pageBreakBefore/>
        <w:widowControl w:val="0"/>
        <w:autoSpaceDN w:val="0"/>
        <w:spacing w:line="360" w:lineRule="auto"/>
      </w:pPr>
      <w:r>
        <w:rPr>
          <w:rFonts w:eastAsia="黑体" w:hint="eastAsia"/>
          <w:sz w:val="32"/>
          <w:szCs w:val="32"/>
        </w:rPr>
        <w:t>附件</w:t>
      </w:r>
      <w:r>
        <w:rPr>
          <w:rFonts w:eastAsia="黑体"/>
          <w:sz w:val="32"/>
          <w:szCs w:val="32"/>
        </w:rPr>
        <w:t>2</w:t>
      </w:r>
    </w:p>
    <w:p>
      <w:pPr>
        <w:pStyle w:val="17"/>
        <w:spacing w:line="600" w:lineRule="exact"/>
        <w:jc w:val="center"/>
        <w:rPr>
          <w:rFonts w:ascii="方正小标宋_GBK" w:eastAsia="方正小标宋_GBK" w:cs="黑体"/>
          <w:sz w:val="36"/>
          <w:szCs w:val="36"/>
        </w:rPr>
      </w:pPr>
      <w:r>
        <w:rPr>
          <w:rFonts w:ascii="方正小标宋_GBK" w:eastAsia="方正小标宋_GBK" w:cs="黑体" w:hint="eastAsia"/>
          <w:sz w:val="36"/>
          <w:szCs w:val="36"/>
        </w:rPr>
        <w:t>2020年度部门预算项目支出绩效自评报告</w:t>
      </w:r>
    </w:p>
    <w:p>
      <w:pPr>
        <w:pStyle w:val="17"/>
        <w:spacing w:line="600" w:lineRule="exact"/>
        <w:jc w:val="center"/>
        <w:rPr>
          <w:rFonts w:ascii="方正小标宋_GBK" w:eastAsia="方正小标宋_GBK" w:cs="黑体"/>
          <w:sz w:val="36"/>
          <w:szCs w:val="36"/>
        </w:rPr>
      </w:pPr>
      <w:r>
        <w:rPr>
          <w:rFonts w:ascii="方正小标宋_GBK" w:eastAsia="方正小标宋_GBK" w:cs="黑体" w:hint="eastAsia"/>
          <w:sz w:val="36"/>
          <w:szCs w:val="36"/>
        </w:rPr>
        <w:t>（公益广告宣传维护费）</w:t>
      </w:r>
    </w:p>
    <w:p>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一、项目概况</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1．单位职能</w:t>
      </w:r>
    </w:p>
    <w:p>
      <w:pPr>
        <w:autoSpaceDE w:val="0"/>
        <w:autoSpaceDN w:val="0"/>
        <w:adjustRightInd w:val="0"/>
        <w:spacing w:line="360" w:lineRule="auto"/>
        <w:ind w:firstLineChars="200" w:firstLine="640"/>
        <w:jc w:val="left"/>
        <w:rPr>
          <w:rFonts w:eastAsia="仿宋_GB2312"/>
          <w:sz w:val="32"/>
          <w:szCs w:val="32"/>
          <w:shd w:val="clear" w:color="auto" w:fill="FFFFFF"/>
        </w:rPr>
      </w:pPr>
      <w:r>
        <w:rPr>
          <w:rFonts w:eastAsia="仿宋_GB2312" w:hint="eastAsia"/>
          <w:sz w:val="32"/>
          <w:szCs w:val="32"/>
          <w:shd w:val="clear" w:color="auto" w:fill="FFFFFF"/>
        </w:rPr>
        <w:t>为定期完成广告载体安全检测和维护维修，及时完成市委、市政府、市委宣传部安排的公益广告宣传任务，为“中国阳光花城”、“中国康养胜地</w:t>
      </w:r>
      <w:r>
        <w:rPr>
          <w:rFonts w:eastAsia="仿宋_GB2312"/>
          <w:sz w:val="32"/>
          <w:szCs w:val="32"/>
          <w:shd w:val="clear" w:color="auto" w:fill="FFFFFF"/>
        </w:rPr>
        <w:t>”</w:t>
      </w:r>
      <w:r>
        <w:rPr>
          <w:rFonts w:eastAsia="仿宋_GB2312" w:hint="eastAsia"/>
          <w:sz w:val="32"/>
          <w:szCs w:val="32"/>
          <w:shd w:val="clear" w:color="auto" w:fill="FFFFFF"/>
        </w:rPr>
        <w:t>建设创造良好社会环境，特实施该项目。</w:t>
      </w:r>
    </w:p>
    <w:p>
      <w:pPr>
        <w:adjustRightInd w:val="0"/>
        <w:snapToGrid w:val="0"/>
        <w:spacing w:line="360" w:lineRule="auto"/>
        <w:ind w:firstLine="720"/>
        <w:rPr>
          <w:rFonts w:ascii="仿宋_GB2312" w:eastAsia="仿宋_GB2312"/>
          <w:sz w:val="32"/>
          <w:szCs w:val="32"/>
        </w:rPr>
      </w:pPr>
      <w:r>
        <w:rPr>
          <w:rFonts w:ascii="仿宋_GB2312" w:eastAsia="仿宋_GB2312" w:hint="eastAsia"/>
          <w:sz w:val="32"/>
          <w:szCs w:val="32"/>
        </w:rPr>
        <w:t>我单位的专项经费的会计核算及财务管理由各项目实施部门管理，将严格按照《会计法》、《预算法》等相关法律法规及财政相关规定管理使用专项资金，在资金使用过程中将严格财经纪律，加强多方监管，坚决杜绝不合规、不合理支出。通过内控制度建设与执行</w:t>
      </w:r>
      <w:r>
        <w:rPr>
          <w:rFonts w:eastAsia="仿宋_GB2312"/>
          <w:sz w:val="32"/>
          <w:szCs w:val="32"/>
          <w:shd w:val="clear" w:color="auto" w:fill="FFFFFF"/>
        </w:rPr>
        <w:t>对不确定因素和风险</w:t>
      </w:r>
      <w:r>
        <w:rPr>
          <w:rFonts w:eastAsia="仿宋_GB2312" w:hint="eastAsia"/>
          <w:sz w:val="32"/>
          <w:szCs w:val="32"/>
          <w:shd w:val="clear" w:color="auto" w:fill="FFFFFF"/>
        </w:rPr>
        <w:t>建立防</w:t>
      </w:r>
      <w:r>
        <w:rPr>
          <w:rFonts w:eastAsia="仿宋_GB2312"/>
          <w:sz w:val="32"/>
          <w:szCs w:val="32"/>
          <w:shd w:val="clear" w:color="auto" w:fill="FFFFFF"/>
        </w:rPr>
        <w:t>控措施</w:t>
      </w:r>
      <w:r>
        <w:rPr>
          <w:rFonts w:eastAsia="仿宋_GB2312" w:hint="eastAsia"/>
          <w:sz w:val="32"/>
          <w:szCs w:val="32"/>
          <w:shd w:val="clear" w:color="auto" w:fill="FFFFFF"/>
        </w:rPr>
        <w:t>，</w:t>
      </w:r>
      <w:r>
        <w:rPr>
          <w:rFonts w:ascii="仿宋_GB2312" w:eastAsia="仿宋_GB2312" w:hint="eastAsia"/>
          <w:sz w:val="32"/>
          <w:szCs w:val="32"/>
        </w:rPr>
        <w:t>与财政部门及时沟通调整资金使用方案，确保专项资金专款专用，发挥出最大的效益。</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2．项目立项、资金申报的依据</w:t>
      </w:r>
    </w:p>
    <w:p>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《攀枝花市财政局关于下达2020年部门预算批复的通知》（攀财资预〔2020〕3号）</w:t>
      </w:r>
      <w:bookmarkStart w:id="12" w:name="_GoBack"/>
      <w:bookmarkEnd w:id="12"/>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3．资金管理办法制定情况</w:t>
      </w:r>
    </w:p>
    <w:p>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该项目严格遵守《中华人民共和国预算法》及其他财政相关规定。规范资金审批程序，做好资金管理，严格贯彻财政多级审核、统一支付的原则，规范财务管理程序，专款专用。</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4．资金分配的原则及考虑因素</w:t>
      </w:r>
    </w:p>
    <w:p>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专项经费专款专用，按年初部门预算批复标准范围内严格支付。</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（二）项目绩效目标</w:t>
      </w:r>
    </w:p>
    <w:p>
      <w:pPr>
        <w:adjustRightInd w:val="0"/>
        <w:spacing w:line="360" w:lineRule="auto"/>
        <w:ind w:firstLine="646"/>
        <w:rPr>
          <w:rFonts w:ascii="楷体" w:eastAsia="楷体"/>
          <w:kern w:val="0"/>
          <w:sz w:val="32"/>
          <w:szCs w:val="32"/>
        </w:rPr>
      </w:pPr>
      <w:r>
        <w:rPr>
          <w:rFonts w:ascii="楷体" w:eastAsia="楷体"/>
          <w:kern w:val="0"/>
          <w:sz w:val="32"/>
          <w:szCs w:val="32"/>
        </w:rPr>
        <w:t>1．项目主要内容</w:t>
      </w:r>
    </w:p>
    <w:p>
      <w:pPr>
        <w:spacing w:line="360" w:lineRule="auto"/>
        <w:ind w:firstLine="645"/>
        <w:rPr>
          <w:rFonts w:eastAsia="仿宋_GB2312"/>
          <w:sz w:val="32"/>
          <w:szCs w:val="32"/>
          <w:shd w:val="clear" w:color="auto" w:fill="FFFFFF"/>
        </w:rPr>
      </w:pPr>
      <w:r>
        <w:rPr>
          <w:rFonts w:eastAsia="仿宋_GB2312" w:hint="eastAsia"/>
          <w:sz w:val="32"/>
          <w:szCs w:val="32"/>
          <w:shd w:val="clear" w:color="auto" w:fill="FFFFFF"/>
        </w:rPr>
        <w:t>攀枝花市城市管理行政执法局所辖户外广告设施共计15处。其中6处户外广告设施长期用于公益宣传，其余9处均通过拍卖使用权的方式将收益上缴市财政。公益宣传广告牌的户外广告发布除在重大活动或重大节假日须根据市委宣传部下达的任务大面积更换外，在画面出现破损、陈旧、脏污等情况也须立即更换。</w:t>
      </w:r>
    </w:p>
    <w:p>
      <w:pPr>
        <w:adjustRightInd w:val="0"/>
        <w:spacing w:line="360" w:lineRule="auto"/>
        <w:ind w:firstLine="646"/>
        <w:rPr>
          <w:rFonts w:eastAsia="仿宋_GB2312"/>
          <w:sz w:val="32"/>
          <w:szCs w:val="32"/>
          <w:shd w:val="clear" w:color="auto" w:fill="FFFFFF"/>
        </w:rPr>
      </w:pPr>
      <w:r>
        <w:rPr>
          <w:rFonts w:eastAsia="仿宋_GB2312" w:hint="eastAsia"/>
          <w:sz w:val="32"/>
          <w:szCs w:val="32"/>
          <w:shd w:val="clear" w:color="auto" w:fill="FFFFFF"/>
        </w:rPr>
        <w:t>2020年通过公益广告宣传维护费支出的经费保障，</w:t>
      </w:r>
      <w:r>
        <w:rPr>
          <w:rFonts w:ascii="仿宋_GB2312" w:eastAsia="仿宋_GB2312" w:cs="仿宋_GB2312" w:hint="eastAsia"/>
          <w:sz w:val="32"/>
          <w:szCs w:val="32"/>
        </w:rPr>
        <w:t>保障管辖范围内的公益广告位安全运营，增加财政国有资产收益；通过公益广告的发布，保障市委、市政府安排的公益广告宣传，提升攀枝花城市形象</w:t>
      </w:r>
      <w:r>
        <w:rPr>
          <w:rFonts w:eastAsia="仿宋_GB2312" w:hint="eastAsia"/>
          <w:sz w:val="32"/>
          <w:szCs w:val="32"/>
          <w:shd w:val="clear" w:color="auto" w:fill="FFFFFF"/>
        </w:rPr>
        <w:t>。</w:t>
      </w:r>
    </w:p>
    <w:p>
      <w:pPr>
        <w:adjustRightInd w:val="0"/>
        <w:spacing w:line="360" w:lineRule="auto"/>
        <w:ind w:firstLine="646"/>
        <w:rPr>
          <w:rFonts w:ascii="楷体" w:eastAsia="楷体"/>
          <w:kern w:val="0"/>
          <w:sz w:val="32"/>
          <w:szCs w:val="32"/>
        </w:rPr>
      </w:pPr>
      <w:r>
        <w:rPr>
          <w:rFonts w:ascii="楷体" w:eastAsia="楷体"/>
          <w:kern w:val="0"/>
          <w:sz w:val="32"/>
          <w:szCs w:val="32"/>
        </w:rPr>
        <w:t>2．项目应实现的具体绩效目标</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完成广告载体安全检测和维护维修年度任务，完成市委、市政府、市委宣传部安排的公益广告宣传任务。为“中国阳光花城”、“中国康养胜地”建设创造良好的社会环境，努力提高社会各界的城乡环境意识，加强城市管理工作，为提升攀枝花城市形象，招商引资，经济发展做出积极贡献。</w:t>
      </w:r>
    </w:p>
    <w:p>
      <w:pPr>
        <w:autoSpaceDE w:val="0"/>
        <w:autoSpaceDN w:val="0"/>
        <w:adjustRightInd w:val="0"/>
        <w:spacing w:line="360" w:lineRule="auto"/>
        <w:ind w:firstLineChars="250" w:firstLine="800"/>
        <w:jc w:val="left"/>
        <w:rPr>
          <w:rFonts w:ascii="楷体" w:eastAsia="楷体"/>
          <w:kern w:val="0"/>
          <w:sz w:val="32"/>
          <w:szCs w:val="32"/>
        </w:rPr>
      </w:pPr>
      <w:r>
        <w:rPr>
          <w:rFonts w:ascii="楷体" w:eastAsia="楷体"/>
          <w:kern w:val="0"/>
          <w:sz w:val="32"/>
          <w:szCs w:val="32"/>
        </w:rPr>
        <w:t>3．目标</w:t>
      </w:r>
      <w:r>
        <w:rPr>
          <w:rFonts w:ascii="楷体" w:eastAsia="楷体" w:hint="eastAsia"/>
          <w:kern w:val="0"/>
          <w:sz w:val="32"/>
          <w:szCs w:val="32"/>
        </w:rPr>
        <w:t>是</w:t>
      </w:r>
      <w:r>
        <w:rPr>
          <w:rFonts w:ascii="楷体" w:eastAsia="楷体"/>
          <w:kern w:val="0"/>
          <w:sz w:val="32"/>
          <w:szCs w:val="32"/>
        </w:rPr>
        <w:t>否合理可行</w:t>
      </w:r>
    </w:p>
    <w:p>
      <w:pPr>
        <w:autoSpaceDE w:val="0"/>
        <w:autoSpaceDN w:val="0"/>
        <w:adjustRightInd w:val="0"/>
        <w:spacing w:line="360" w:lineRule="auto"/>
        <w:ind w:firstLineChars="200" w:firstLine="640"/>
        <w:jc w:val="left"/>
        <w:rPr>
          <w:rFonts w:eastAsia="仿宋_GB2312"/>
          <w:color w:val="000000"/>
          <w:sz w:val="32"/>
          <w:szCs w:val="32"/>
        </w:rPr>
      </w:pPr>
      <w:r>
        <w:rPr>
          <w:rFonts w:eastAsia="仿宋_GB2312" w:hint="eastAsia"/>
          <w:sz w:val="32"/>
          <w:szCs w:val="32"/>
        </w:rPr>
        <w:t>通过财政资金的使用，保证城市管理公益广告发布工作的顺利开展，</w:t>
      </w:r>
      <w:r>
        <w:rPr>
          <w:rFonts w:ascii="仿宋_GB2312" w:eastAsia="仿宋_GB2312" w:hint="eastAsia"/>
          <w:sz w:val="32"/>
          <w:szCs w:val="32"/>
        </w:rPr>
        <w:t>完成广告载体安全检测和维护维修年度任务，完成市委、市政府、市委宣传部安排的公益广告宣传任务。</w:t>
      </w:r>
      <w:r>
        <w:rPr>
          <w:rFonts w:eastAsia="仿宋_GB2312"/>
          <w:color w:val="000000"/>
          <w:sz w:val="32"/>
          <w:szCs w:val="32"/>
        </w:rPr>
        <w:t>围绕建设管理宜人宜居的“英雄攀枝花 阳光康养地”，提升城市品味</w:t>
      </w:r>
      <w:r>
        <w:rPr>
          <w:rFonts w:eastAsia="仿宋_GB2312" w:hint="eastAsia"/>
          <w:color w:val="000000"/>
          <w:sz w:val="32"/>
          <w:szCs w:val="32"/>
        </w:rPr>
        <w:t>；</w:t>
      </w:r>
      <w:r>
        <w:rPr>
          <w:rFonts w:eastAsia="仿宋_GB2312"/>
          <w:color w:val="000000"/>
          <w:sz w:val="32"/>
          <w:szCs w:val="32"/>
        </w:rPr>
        <w:t>提升城管工作在全市工作大局中的参与度、城管队伍建设的规范化程度、城管执法服务工作的群众满意度</w:t>
      </w:r>
      <w:r>
        <w:rPr>
          <w:rFonts w:eastAsia="仿宋_GB2312" w:hint="eastAsia"/>
          <w:color w:val="000000"/>
          <w:sz w:val="32"/>
          <w:szCs w:val="32"/>
        </w:rPr>
        <w:t>。</w:t>
      </w:r>
    </w:p>
    <w:p>
      <w:pPr>
        <w:autoSpaceDE w:val="0"/>
        <w:autoSpaceDN w:val="0"/>
        <w:adjustRightInd w:val="0"/>
        <w:spacing w:line="360" w:lineRule="auto"/>
        <w:ind w:firstLineChars="200" w:firstLine="640"/>
        <w:jc w:val="left"/>
        <w:rPr>
          <w:rFonts w:eastAsia="仿宋_GB2312"/>
          <w:kern w:val="0"/>
          <w:sz w:val="32"/>
          <w:szCs w:val="32"/>
        </w:rPr>
      </w:pPr>
      <w:r>
        <w:rPr>
          <w:rFonts w:ascii="仿宋_GB2312" w:eastAsia="仿宋_GB2312" w:hint="eastAsia"/>
          <w:sz w:val="32"/>
          <w:szCs w:val="32"/>
        </w:rPr>
        <w:t>该项目</w:t>
      </w:r>
      <w:r>
        <w:rPr>
          <w:rFonts w:eastAsia="仿宋_GB2312"/>
          <w:kern w:val="0"/>
          <w:sz w:val="32"/>
          <w:szCs w:val="32"/>
        </w:rPr>
        <w:t>申报内容与实际相符</w:t>
      </w:r>
      <w:r>
        <w:rPr>
          <w:rFonts w:eastAsia="仿宋_GB2312" w:hint="eastAsia"/>
          <w:kern w:val="0"/>
          <w:sz w:val="32"/>
          <w:szCs w:val="32"/>
        </w:rPr>
        <w:t>，申报</w:t>
      </w:r>
      <w:r>
        <w:rPr>
          <w:rFonts w:ascii="仿宋_GB2312" w:eastAsia="仿宋_GB2312" w:hint="eastAsia"/>
          <w:sz w:val="32"/>
          <w:szCs w:val="32"/>
        </w:rPr>
        <w:t>目标具有</w:t>
      </w:r>
      <w:r>
        <w:rPr>
          <w:rFonts w:eastAsia="仿宋_GB2312"/>
          <w:sz w:val="32"/>
          <w:szCs w:val="32"/>
          <w:shd w:val="clear" w:color="auto" w:fill="FFFFFF"/>
        </w:rPr>
        <w:t>可考核性和可实现性</w:t>
      </w:r>
      <w:r>
        <w:rPr>
          <w:rFonts w:ascii="仿宋_GB2312" w:eastAsia="仿宋_GB2312" w:hint="eastAsia"/>
          <w:sz w:val="32"/>
          <w:szCs w:val="32"/>
        </w:rPr>
        <w:t>。</w:t>
      </w:r>
    </w:p>
    <w:p>
      <w:pPr>
        <w:autoSpaceDE w:val="0"/>
        <w:autoSpaceDN w:val="0"/>
        <w:adjustRightInd w:val="0"/>
        <w:spacing w:line="360" w:lineRule="auto"/>
        <w:ind w:firstLineChars="200" w:firstLine="64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该项目资金的申报是我单位在结合实际工作需要，厉行节约的基础上，部门预算编制时进行编制上报，市财政根据项目的申报内容，经过各方会审通过后，在2020年年初安排下达项目资金，同时下达资金批复文件。</w:t>
      </w:r>
    </w:p>
    <w:p>
      <w:pPr>
        <w:autoSpaceDE w:val="0"/>
        <w:autoSpaceDN w:val="0"/>
        <w:adjustRightInd w:val="0"/>
        <w:spacing w:line="360" w:lineRule="auto"/>
        <w:ind w:firstLineChars="150" w:firstLine="48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1．资金计划</w:t>
      </w:r>
    </w:p>
    <w:p>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2020年，市财政部门预算批复下达的</w:t>
      </w:r>
      <w:r>
        <w:rPr>
          <w:rFonts w:eastAsia="仿宋_GB2312" w:hint="eastAsia"/>
          <w:sz w:val="32"/>
          <w:szCs w:val="32"/>
          <w:shd w:val="clear" w:color="auto" w:fill="FFFFFF"/>
        </w:rPr>
        <w:t>公益广告宣传维护费14</w:t>
      </w:r>
      <w:r>
        <w:rPr>
          <w:rFonts w:eastAsia="仿宋_GB2312" w:hint="eastAsia"/>
          <w:kern w:val="0"/>
          <w:sz w:val="32"/>
          <w:szCs w:val="32"/>
        </w:rPr>
        <w:t>万元，经费全部来自财政拨款。此项经费用于我单位保障完成广告载体安全检测和维护维修，完成市委、市政府、市委宣传部安排的公益广告宣传任务。</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2．资金到位</w:t>
      </w:r>
    </w:p>
    <w:p>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截止2020年12月31日，市财政已拨付</w:t>
      </w:r>
      <w:r>
        <w:rPr>
          <w:rFonts w:eastAsia="仿宋_GB2312" w:hint="eastAsia"/>
          <w:sz w:val="32"/>
          <w:szCs w:val="32"/>
          <w:shd w:val="clear" w:color="auto" w:fill="FFFFFF"/>
        </w:rPr>
        <w:t>公益广告宣传维护费14</w:t>
      </w:r>
      <w:r>
        <w:rPr>
          <w:rFonts w:eastAsia="仿宋_GB2312" w:hint="eastAsia"/>
          <w:kern w:val="0"/>
          <w:sz w:val="32"/>
          <w:szCs w:val="32"/>
        </w:rPr>
        <w:t>万元，资金到位及时，到位率100%。</w:t>
      </w:r>
    </w:p>
    <w:p>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3．资金使用</w:t>
      </w:r>
    </w:p>
    <w:p>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截止2020年12月31日，市财政拨付的</w:t>
      </w:r>
      <w:r>
        <w:rPr>
          <w:rFonts w:eastAsia="仿宋_GB2312" w:hint="eastAsia"/>
          <w:sz w:val="32"/>
          <w:szCs w:val="32"/>
          <w:shd w:val="clear" w:color="auto" w:fill="FFFFFF"/>
        </w:rPr>
        <w:t>公益广告宣传维护费14</w:t>
      </w:r>
      <w:r>
        <w:rPr>
          <w:rFonts w:eastAsia="仿宋_GB2312" w:hint="eastAsia"/>
          <w:kern w:val="0"/>
          <w:sz w:val="32"/>
          <w:szCs w:val="32"/>
        </w:rPr>
        <w:t>万元，已支付保障广告载体安全检测和维护维修，公益广告发布等各项经费14万元，支付率100%。</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我</w:t>
      </w:r>
      <w:r>
        <w:rPr>
          <w:rFonts w:eastAsia="仿宋_GB2312"/>
          <w:kern w:val="0"/>
          <w:sz w:val="32"/>
          <w:szCs w:val="32"/>
        </w:rPr>
        <w:t>单位财务管理制度健全，严格执行财务管理制度，</w:t>
      </w:r>
      <w:r>
        <w:rPr>
          <w:rFonts w:eastAsia="仿宋_GB2312" w:hint="eastAsia"/>
          <w:kern w:val="0"/>
          <w:sz w:val="32"/>
          <w:szCs w:val="32"/>
        </w:rPr>
        <w:t>项目资金</w:t>
      </w:r>
      <w:r>
        <w:rPr>
          <w:rFonts w:eastAsia="仿宋_GB2312"/>
          <w:kern w:val="0"/>
          <w:sz w:val="32"/>
          <w:szCs w:val="32"/>
        </w:rPr>
        <w:t>账务处理及时，会计核算规范。</w:t>
      </w:r>
    </w:p>
    <w:p>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三、项目实施及管理情况</w:t>
      </w:r>
    </w:p>
    <w:p>
      <w:pPr>
        <w:spacing w:line="360" w:lineRule="auto"/>
        <w:ind w:firstLineChars="200" w:firstLine="640"/>
        <w:rPr>
          <w:rFonts w:eastAsia="楷体_GB2312"/>
          <w:kern w:val="0"/>
          <w:sz w:val="32"/>
          <w:szCs w:val="32"/>
        </w:rPr>
      </w:pPr>
      <w:r>
        <w:rPr>
          <w:rFonts w:eastAsia="楷体_GB2312"/>
          <w:kern w:val="0"/>
          <w:sz w:val="32"/>
          <w:szCs w:val="32"/>
        </w:rPr>
        <w:t>（一）项目组织架构及实施流程</w:t>
      </w:r>
    </w:p>
    <w:p>
      <w:pPr>
        <w:spacing w:line="360"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我单位项目实施首先由实施部门提供项目需求和绩效目标，经领导审批后由局计财科编制部门预算项目经费需求，经局长办公会或党组会审议通过后报市财政局，预算批复后，由各业务科室根据实际情况实施政府采购或分散采购、合同签订、办理采购资金支付申请和涉及固定资产登记、落实验收、提供项目绩效评价报告</w:t>
      </w:r>
      <w:r>
        <w:rPr>
          <w:rFonts w:eastAsia="仿宋_GB2312"/>
          <w:sz w:val="32"/>
          <w:szCs w:val="32"/>
          <w:shd w:val="clear" w:color="auto" w:fill="FFFFFF"/>
        </w:rPr>
        <w:t>。</w:t>
      </w:r>
      <w:r>
        <w:rPr>
          <w:rFonts w:eastAsia="仿宋_GB2312" w:hint="eastAsia"/>
          <w:sz w:val="32"/>
          <w:szCs w:val="32"/>
          <w:shd w:val="clear" w:color="auto" w:fill="FFFFFF"/>
        </w:rPr>
        <w:t>局计财科负责按合同约定办理资金支付；</w:t>
      </w:r>
      <w:r>
        <w:rPr>
          <w:rFonts w:eastAsia="仿宋_GB2312"/>
          <w:sz w:val="32"/>
          <w:szCs w:val="32"/>
          <w:shd w:val="clear" w:color="auto" w:fill="FFFFFF"/>
        </w:rPr>
        <w:t>法</w:t>
      </w:r>
      <w:r>
        <w:rPr>
          <w:rFonts w:eastAsia="仿宋_GB2312" w:hint="eastAsia"/>
          <w:sz w:val="32"/>
          <w:szCs w:val="32"/>
          <w:shd w:val="clear" w:color="auto" w:fill="FFFFFF"/>
        </w:rPr>
        <w:t>规科和法律顾问负责项目实施过程中的法律服务和支持；纪检部门负责对项目实施全过程进行监督。</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360" w:lineRule="auto"/>
        <w:ind w:firstLineChars="200" w:firstLine="640"/>
        <w:jc w:val="left"/>
        <w:rPr>
          <w:rFonts w:ascii="仿宋_GB2312" w:eastAsia="仿宋_GB2312"/>
          <w:kern w:val="0"/>
          <w:sz w:val="32"/>
          <w:szCs w:val="32"/>
        </w:rPr>
      </w:pPr>
      <w:r>
        <w:rPr>
          <w:rFonts w:eastAsia="仿宋_GB2312" w:hint="eastAsia"/>
          <w:kern w:val="0"/>
          <w:sz w:val="32"/>
          <w:szCs w:val="32"/>
        </w:rPr>
        <w:t>对广告载体安全检测和维护维修，公益广告发布供应商进行了比选招标，</w:t>
      </w:r>
      <w:r>
        <w:rPr>
          <w:rFonts w:ascii="仿宋_GB2312" w:eastAsia="仿宋_GB2312" w:hint="eastAsia"/>
          <w:kern w:val="0"/>
          <w:sz w:val="32"/>
          <w:szCs w:val="32"/>
        </w:rPr>
        <w:t>费用根据合同按实际使用量支付，严格资金支付审批制度，保证财政资金使用安全高效。</w:t>
      </w:r>
    </w:p>
    <w:p>
      <w:pPr>
        <w:autoSpaceDE w:val="0"/>
        <w:autoSpaceDN w:val="0"/>
        <w:adjustRightInd w:val="0"/>
        <w:spacing w:line="360" w:lineRule="auto"/>
        <w:ind w:firstLineChars="200" w:firstLine="640"/>
        <w:jc w:val="left"/>
        <w:rPr>
          <w:rFonts w:eastAsia="仿宋_GB2312"/>
          <w:kern w:val="0"/>
          <w:sz w:val="32"/>
          <w:szCs w:val="32"/>
        </w:rPr>
      </w:pPr>
      <w:r>
        <w:rPr>
          <w:rFonts w:eastAsia="楷体_GB2312"/>
          <w:kern w:val="0"/>
          <w:sz w:val="32"/>
          <w:szCs w:val="32"/>
        </w:rPr>
        <w:t>（三）项目监管情况</w:t>
      </w:r>
    </w:p>
    <w:p>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各项目的业务管理由各项目具体负责部门管理，明确各岗位职责，强化过程管理和风险防控措施；强化项目内部审批过程、合同订立、款项支付、验收审计等过程的审核把关机制；会计核算及财务管理由局计财科管理，我单位在会计账务中设立项目科目单独核算；驻局纪检组和局纪检监察室负责各项目的实施监管。</w:t>
      </w:r>
    </w:p>
    <w:p>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严格按照《会计法》、《预算法》等相关法律法规及财政相关规定管理使用专项资金，具体会计核算流程为：由经办工作人员填制报销单据，部门负责人初审，由分管专项工作的局领导审核，最后由局长签字报销。在财务工作中我们严格财经纪律，坚决杜绝不合规、不合理支出。</w:t>
      </w:r>
    </w:p>
    <w:p>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四、项目绩效情况</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（一）项目完成情况</w:t>
      </w:r>
    </w:p>
    <w:p>
      <w:pPr>
        <w:adjustRightInd w:val="0"/>
        <w:spacing w:line="360" w:lineRule="auto"/>
        <w:ind w:firstLine="646"/>
        <w:rPr>
          <w:rFonts w:eastAsia="仿宋_GB2312"/>
          <w:sz w:val="32"/>
          <w:szCs w:val="32"/>
          <w:shd w:val="clear" w:color="auto" w:fill="FFFFFF"/>
        </w:rPr>
      </w:pPr>
      <w:r>
        <w:rPr>
          <w:rFonts w:eastAsia="仿宋_GB2312" w:hint="eastAsia"/>
          <w:kern w:val="0"/>
          <w:sz w:val="32"/>
          <w:szCs w:val="32"/>
        </w:rPr>
        <w:t>通过该项目实施，</w:t>
      </w:r>
      <w:r>
        <w:rPr>
          <w:rFonts w:ascii="仿宋_GB2312" w:eastAsia="仿宋_GB2312" w:cs="仿宋_GB2312" w:hint="eastAsia"/>
          <w:sz w:val="32"/>
          <w:szCs w:val="32"/>
        </w:rPr>
        <w:t>保障了管辖范围内的公益广告位安全运营，增加了财政国有资产收益；通过公益广告的发布，保障了市委、市政府安排的公益广告宣传，提升了攀枝花城市形象</w:t>
      </w:r>
      <w:r>
        <w:rPr>
          <w:rFonts w:eastAsia="仿宋_GB2312" w:hint="eastAsia"/>
          <w:sz w:val="32"/>
          <w:szCs w:val="32"/>
          <w:shd w:val="clear" w:color="auto" w:fill="FFFFFF"/>
        </w:rPr>
        <w:t>，</w:t>
      </w:r>
      <w:r>
        <w:rPr>
          <w:rFonts w:eastAsia="仿宋_GB2312" w:hint="eastAsia"/>
          <w:kern w:val="0"/>
          <w:sz w:val="32"/>
          <w:szCs w:val="32"/>
        </w:rPr>
        <w:t>基本达到年度预期目标。</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（二）项目效益情况</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2020年度，我单位管辖的广告位通过检测维修达到使用标准后进行了拍卖，广告位使用权拍卖收入115.03万元已全部上缴财政。；</w:t>
      </w:r>
      <w:r>
        <w:rPr>
          <w:rFonts w:ascii="仿宋_GB2312" w:eastAsia="仿宋_GB2312" w:cs="仿宋_GB2312" w:hint="eastAsia"/>
          <w:sz w:val="32"/>
          <w:szCs w:val="32"/>
        </w:rPr>
        <w:t>通过公益广告的发布，</w:t>
      </w:r>
      <w:r>
        <w:rPr>
          <w:rFonts w:ascii="仿宋_GB2312" w:eastAsia="仿宋_GB2312" w:hint="eastAsia"/>
          <w:sz w:val="32"/>
          <w:szCs w:val="32"/>
        </w:rPr>
        <w:t>充分让市民了解了国家、省、市的政策方针、法律法规及政府工作动态，</w:t>
      </w:r>
      <w:r>
        <w:rPr>
          <w:rFonts w:ascii="仿宋_GB2312" w:eastAsia="仿宋_GB2312" w:cs="仿宋_GB2312" w:hint="eastAsia"/>
          <w:sz w:val="32"/>
          <w:szCs w:val="32"/>
        </w:rPr>
        <w:t>提升了攀枝花城市形象</w:t>
      </w:r>
      <w:r>
        <w:rPr>
          <w:rFonts w:ascii="仿宋_GB2312" w:eastAsia="仿宋_GB2312" w:hint="eastAsia"/>
          <w:sz w:val="32"/>
          <w:szCs w:val="32"/>
        </w:rPr>
        <w:t>。</w:t>
      </w:r>
    </w:p>
    <w:p>
      <w:pPr>
        <w:autoSpaceDE w:val="0"/>
        <w:autoSpaceDN w:val="0"/>
        <w:adjustRightInd w:val="0"/>
        <w:spacing w:line="360" w:lineRule="auto"/>
        <w:ind w:firstLineChars="200" w:firstLine="64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（一）评价结论</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通过项目实施，增加了财政收入，提高了社会各界的城乡环境意识，督促区（县）加大城市管理工作的投入，加强城市管理工作，为提升攀枝花城市形象，招商引资，经济发展做出了积极贡献。</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（二）存在的问题</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通过绩效考评，发现的主要问题有：突发情况、临时工作任务较多，经费预测不准确。</w:t>
      </w:r>
    </w:p>
    <w:p>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针对项目自评中发现的问题，</w:t>
      </w:r>
      <w:r>
        <w:rPr>
          <w:rFonts w:ascii="仿宋_GB2312" w:eastAsia="仿宋_GB2312" w:cs="仿宋_GB2312" w:hint="eastAsia"/>
          <w:sz w:val="32"/>
          <w:szCs w:val="32"/>
        </w:rPr>
        <w:t>下一步改进措施：考虑多方因素，尽量准确编制预算。</w:t>
      </w:r>
    </w:p>
    <w:p>
      <w:pPr>
        <w:autoSpaceDN w:val="0"/>
        <w:spacing w:line="360" w:lineRule="auto"/>
        <w:jc w:val="center"/>
        <w:outlineLvl w:val="0"/>
        <w:rPr>
          <w:color w:val="000000"/>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autoSpaceDN w:val="0"/>
        <w:spacing w:line="360" w:lineRule="auto"/>
        <w:jc w:val="center"/>
        <w:outlineLvl w:val="0"/>
        <w:rPr>
          <w:rFonts w:eastAsia="黑体"/>
          <w:color w:val="000000"/>
          <w:sz w:val="44"/>
          <w:szCs w:val="44"/>
        </w:rPr>
      </w:pPr>
    </w:p>
    <w:p>
      <w:pPr>
        <w:pageBreakBefore/>
        <w:widowControl w:val="0"/>
        <w:autoSpaceDN w:val="0"/>
        <w:spacing w:line="360" w:lineRule="auto"/>
        <w:jc w:val="center"/>
        <w:outlineLvl w:val="0"/>
        <w:rPr>
          <w:rStyle w:val="22"/>
        </w:rPr>
      </w:pPr>
      <w:r>
        <w:rPr>
          <w:rFonts w:eastAsia="黑体" w:hint="eastAsia"/>
          <w:color w:val="000000"/>
          <w:sz w:val="44"/>
          <w:szCs w:val="44"/>
        </w:rPr>
        <w:t>第</w:t>
      </w:r>
      <w:r>
        <w:rPr>
          <w:rStyle w:val="22"/>
          <w:rFonts w:eastAsia="黑体" w:hint="eastAsia"/>
          <w:sz w:val="44"/>
          <w:szCs w:val="44"/>
        </w:rPr>
        <w:t>五部分</w:t>
      </w:r>
      <w:r>
        <w:rPr>
          <w:rStyle w:val="22"/>
          <w:rFonts w:eastAsia="黑体"/>
          <w:sz w:val="44"/>
          <w:szCs w:val="44"/>
        </w:rPr>
        <w:t xml:space="preserve"> </w:t>
      </w:r>
      <w:r>
        <w:rPr>
          <w:rStyle w:val="22"/>
          <w:rFonts w:eastAsia="黑体" w:hint="eastAsia"/>
          <w:sz w:val="44"/>
          <w:szCs w:val="44"/>
        </w:rPr>
        <w:t>附表</w:t>
      </w:r>
    </w:p>
    <w:p>
      <w:pPr>
        <w:autoSpaceDN w:val="0"/>
        <w:spacing w:line="360" w:lineRule="auto"/>
        <w:jc w:val="center"/>
        <w:outlineLvl w:val="0"/>
        <w:rPr>
          <w:rFonts w:eastAsia="仿宋"/>
          <w:b/>
          <w:bCs/>
          <w:color w:val="000000"/>
        </w:rPr>
      </w:pP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一、收入支出决算总表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二、收入决算表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三、支出决算表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四、财政拨款收入支出决算总表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五、财政拨款支出决算明细表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六、一般公共预算财政拨款支出决算表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七、一般公共预算财政拨款支出决算明细表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八、一般公共预算财政拨款基本支出决算表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九、一般公共预算财政拨款项目支出决算表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十、一般公共预算财政拨款“三公”经费支出决算表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十一、政府性基金预算财政拨款收入支出决算表</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十二、政府性基金预算财政拨款“三公”经费支出决算表（此表无数据）</w:t>
      </w:r>
    </w:p>
    <w:p>
      <w:pPr>
        <w:autoSpaceDN w:val="0"/>
        <w:spacing w:before="240" w:line="360" w:lineRule="auto"/>
        <w:rPr>
          <w:rFonts w:ascii="仿宋_GB2312" w:eastAsia="仿宋_GB2312" w:cs="仿宋_GB2312"/>
          <w:sz w:val="32"/>
          <w:szCs w:val="32"/>
        </w:rPr>
      </w:pPr>
      <w:r>
        <w:rPr>
          <w:rFonts w:ascii="仿宋_GB2312" w:eastAsia="仿宋_GB2312" w:cs="仿宋_GB2312" w:hint="eastAsia"/>
          <w:sz w:val="32"/>
          <w:szCs w:val="32"/>
        </w:rPr>
        <w:t>十三、国有资本经营预算财政拨款收入支出决算表（此表无数据</w:t>
      </w:r>
    </w:p>
    <w:p>
      <w:pPr>
        <w:autoSpaceDN w:val="0"/>
        <w:spacing w:line="360" w:lineRule="auto"/>
        <w:rPr>
          <w:rFonts w:ascii="仿宋_GB2312" w:eastAsia="仿宋_GB2312" w:cs="仿宋_GB2312"/>
          <w:sz w:val="32"/>
          <w:szCs w:val="32"/>
        </w:rPr>
      </w:pPr>
      <w:r>
        <w:rPr>
          <w:rFonts w:ascii="仿宋_GB2312" w:eastAsia="仿宋_GB2312" w:cs="仿宋_GB2312" w:hint="eastAsia"/>
          <w:sz w:val="32"/>
          <w:szCs w:val="32"/>
        </w:rPr>
        <w:t>十四、国有资本经营预算财政拨款支出决算表（此表无数据）</w:t>
      </w:r>
    </w:p>
    <w:p/>
    <w:sectPr>
      <w:footerReference w:type="default" r:id="rId2"/>
      <w:footerReference w:type="even" r:id="rId3"/>
      <w:pgSz w:w="11906" w:h="16838"/>
      <w:pgMar w:top="1440" w:right="1800" w:bottom="1440" w:left="180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altName w:val="微软雅黑"/>
    <w:panose1 w:val="00000000000000000000"/>
    <w:charset w:val="86"/>
    <w:family w:val="modern"/>
    <w:pitch w:val="variable"/>
    <w:sig w:usb0="00000000" w:usb1="080E0000" w:usb2="0000001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80E0000" w:usb2="00000010" w:usb3="00000000" w:csb0="00040000" w:csb1="00000000"/>
  </w:font>
  <w:font w:name="Cambria">
    <w:altName w:val="Palatino Linotype"/>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24"/>
      <w:framePr w:w="0" w:hRule="auto" w:wrap="around" w:vAnchor="text" w:hAnchor="margin" w:xAlign="center" w:y="1" w:anchorLock="0"/>
      <w:tabs>
        <w:tab w:val="center" w:pos="4153"/>
        <w:tab w:val="right" w:pos="8306"/>
      </w:tabs>
      <w:rPr>
        <w:rStyle w:val="25"/>
      </w:rPr>
    </w:pPr>
    <w:r>
      <w:rPr>
        <w:rStyle w:val="25"/>
      </w:rPr>
      <w:fldChar w:fldCharType="begin"/>
    </w:r>
    <w:r>
      <w:rPr>
        <w:rStyle w:val="25"/>
      </w:rPr>
      <w:instrText xml:space="preserve">PAGE  </w:instrText>
    </w:r>
    <w:r>
      <w:rPr>
        <w:rStyle w:val="25"/>
      </w:rPr>
      <w:fldChar w:fldCharType="separate"/>
    </w:r>
    <w:r>
      <w:rPr>
        <w:rStyle w:val="25"/>
      </w:rPr>
      <w:t>12</w:t>
    </w:r>
    <w:r>
      <w:rPr>
        <w:rStyle w:val="25"/>
      </w:rPr>
      <w:fldChar w:fldCharType="end"/>
    </w:r>
  </w:p>
  <w:p>
    <w:pPr>
      <w:pStyle w:val="24"/>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24"/>
      <w:framePr w:w="0" w:hRule="auto" w:wrap="around" w:vAnchor="text" w:hAnchor="margin" w:xAlign="center" w:y="1" w:anchorLock="0"/>
      <w:tabs>
        <w:tab w:val="center" w:pos="4153"/>
        <w:tab w:val="right" w:pos="8306"/>
      </w:tabs>
      <w:rPr>
        <w:rStyle w:val="25"/>
      </w:rPr>
    </w:pPr>
    <w:r>
      <w:rPr>
        <w:rStyle w:val="25"/>
      </w:rPr>
      <w:fldChar w:fldCharType="begin"/>
    </w:r>
    <w:r>
      <w:rPr>
        <w:rStyle w:val="25"/>
      </w:rPr>
      <w:instrText xml:space="preserve">PAGE  </w:instrText>
    </w:r>
    <w:r>
      <w:rPr>
        <w:rStyle w:val="25"/>
      </w:rPr>
      <w:fldChar w:fldCharType="separate"/>
    </w:r>
    <w:r>
      <w:rPr>
        <w:rStyle w:val="25"/>
      </w:rPr>
      <w:fldChar w:fldCharType="end"/>
    </w:r>
  </w:p>
  <w:p>
    <w:pPr>
      <w:pStyle w:val="24"/>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2">
    <w:name w:val="heading 2"/>
    <w:basedOn w:val="0"/>
    <w:next w:val="0"/>
    <w:pPr>
      <w:keepNext/>
      <w:keepLines/>
      <w:widowControl w:val="0"/>
      <w:spacing w:before="260" w:after="260" w:line="415" w:lineRule="auto"/>
      <w:outlineLvl w:val="1"/>
    </w:pPr>
    <w:rPr>
      <w:rFonts w:ascii="Cambria" w:cs="宋体" w:hAnsi="Cambria"/>
      <w:b/>
      <w:bCs/>
      <w:sz w:val="32"/>
      <w:szCs w:val="32"/>
    </w:rPr>
  </w:style>
  <w:style w:type="character" w:default="1" w:styleId="10">
    <w:name w:val="Default Paragraph Font"/>
  </w:style>
  <w:style w:type="character" w:styleId="15">
    <w:name w:val="Hyperlink"/>
    <w:basedOn w:val="10"/>
    <w:rPr>
      <w:rFonts w:cs="Times New Roman"/>
      <w:b w:val="0"/>
      <w:bCs w:val="0"/>
      <w:i w:val="0"/>
      <w:iCs w:val="0"/>
      <w:color w:val="0000FF"/>
      <w:u w:val="single"/>
    </w:rPr>
  </w:style>
  <w:style w:type="character" w:styleId="16">
    <w:name w:val="Strong"/>
    <w:basedOn w:val="10"/>
    <w:rPr>
      <w:rFonts w:cs="Times New Roman"/>
      <w:b/>
      <w:bCs/>
      <w:i w:val="0"/>
      <w:iCs w:val="0"/>
    </w:rPr>
  </w:style>
  <w:style w:type="paragraph" w:styleId="17">
    <w:name w:val="Plain Text"/>
    <w:basedOn w:val="0"/>
    <w:rPr>
      <w:rFonts w:ascii="宋体" w:cs="Courier New"/>
      <w:szCs w:val="21"/>
    </w:rPr>
  </w:style>
  <w:style w:type="paragraph" w:styleId="18">
    <w:name w:val="Body Text"/>
    <w:basedOn w:val="0"/>
    <w:pPr>
      <w:spacing w:beforeLines="30" w:before="30"/>
    </w:pPr>
    <w:rPr>
      <w:rFonts w:ascii="仿宋_GB2312" w:eastAsia="仿宋_GB2312" w:cs="宋体"/>
      <w:kern w:val="0"/>
      <w:sz w:val="24"/>
      <w:szCs w:val="20"/>
    </w:rPr>
  </w:style>
  <w:style w:type="paragraph" w:styleId="19">
    <w:name w:val="toc 1"/>
    <w:basedOn w:val="0"/>
    <w:next w:val="0"/>
    <w:pPr>
      <w:tabs>
        <w:tab w:val="right" w:leader="dot" w:pos="8296"/>
      </w:tabs>
      <w:spacing w:before="93"/>
      <w:jc w:val="center"/>
    </w:pPr>
    <w:rPr>
      <w:rFonts w:ascii="仿宋" w:eastAsia="仿宋" w:cs="宋体"/>
      <w:sz w:val="28"/>
      <w:szCs w:val="28"/>
    </w:rPr>
  </w:style>
  <w:style w:type="paragraph" w:styleId="20">
    <w:name w:val="toc 2"/>
    <w:basedOn w:val="0"/>
    <w:next w:val="0"/>
    <w:pPr>
      <w:tabs>
        <w:tab w:val="right" w:leader="dot" w:pos="8296"/>
      </w:tabs>
      <w:ind w:leftChars="200" w:left="200"/>
    </w:pPr>
  </w:style>
  <w:style w:type="paragraph" w:customStyle="1" w:styleId="21">
    <w:name w:val="Default"/>
    <w:pPr>
      <w:widowControl w:val="0"/>
      <w:autoSpaceDE w:val="0"/>
      <w:autoSpaceDN w:val="0"/>
      <w:adjustRightInd w:val="0"/>
    </w:pPr>
    <w:rPr>
      <w:rFonts w:ascii="仿宋" w:eastAsia="仿宋" w:cs="仿宋"/>
      <w:color w:val="000000"/>
      <w:sz w:val="24"/>
      <w:szCs w:val="24"/>
      <w:lang w:val="en-US" w:eastAsia="zh-CN" w:bidi="ar-SA"/>
    </w:rPr>
  </w:style>
  <w:style w:type="character" w:customStyle="1" w:styleId="22">
    <w:name w:val="h1"/>
    <w:basedOn w:val="10"/>
  </w:style>
  <w:style w:type="character" w:customStyle="1" w:styleId="23">
    <w:name w:val="h2"/>
    <w:basedOn w:val="10"/>
  </w:style>
  <w:style w:type="paragraph" w:styleId="24">
    <w:name w:val="footer"/>
    <w:basedOn w:val="0"/>
    <w:pPr>
      <w:tabs>
        <w:tab w:val="center" w:pos="4153"/>
        <w:tab w:val="right" w:pos="8306"/>
      </w:tabs>
      <w:snapToGrid w:val="0"/>
      <w:jc w:val="left"/>
    </w:pPr>
    <w:rPr>
      <w:sz w:val="18"/>
      <w:szCs w:val="18"/>
    </w:rPr>
  </w:style>
  <w:style w:type="character" w:styleId="25">
    <w:name w:val="page number"/>
    <w:basedOn w:val="10"/>
  </w:style>
  <w:style w:type="paragraph" w:styleId="26">
    <w:name w:val="Balloon Text"/>
    <w:basedOn w:val="0"/>
    <w:rPr>
      <w:sz w:val="18"/>
      <w:szCs w:val="18"/>
    </w:rPr>
  </w:style>
  <w:style w:type="character" w:styleId="27">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emf"/><Relationship Id="rId5" Type="http://schemas.openxmlformats.org/officeDocument/2006/relationships/image" Target="media/5.emf"/><Relationship Id="rId6" Type="http://schemas.openxmlformats.org/officeDocument/2006/relationships/image" Target="media/8.emf"/><Relationship Id="rId7" Type="http://schemas.openxmlformats.org/officeDocument/2006/relationships/image" Target="media/11.emf"/><Relationship Id="rId8" Type="http://schemas.openxmlformats.org/officeDocument/2006/relationships/image" Target="media/14.emf"/><Relationship Id="rId9" Type="http://schemas.openxmlformats.org/officeDocument/2006/relationships/image" Target="media/17.emf"/><Relationship Id="rId10" Type="http://schemas.openxmlformats.org/officeDocument/2006/relationships/image" Target="media/20.emf"/><Relationship Id="rId11" Type="http://schemas.openxmlformats.org/officeDocument/2006/relationships/styles" Target="styles.xml"/><Relationship Id="rId12" Type="http://schemas.openxmlformats.org/officeDocument/2006/relationships/fontTable" Target="fontTable.xml"/></Relationships>
</file>

<file path=docProps/app.xml><?xml version="1.0" encoding="utf-8"?>
<Properties xmlns="http://schemas.openxmlformats.org/officeDocument/2006/extended-properties">
  <Template>Normal.eit</Template>
  <TotalTime>55</TotalTime>
  <Application>Yozo_Office</Application>
  <Pages>31</Pages>
  <Words>11488</Words>
  <Characters>12240</Characters>
  <Lines>682</Lines>
  <Paragraphs>305</Paragraphs>
  <CharactersWithSpaces>12320</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沈怡佳</dc:creator>
  <cp:lastModifiedBy>微软用户</cp:lastModifiedBy>
  <cp:revision>5</cp:revision>
  <dcterms:created xsi:type="dcterms:W3CDTF">2021-10-14T09:18:00Z</dcterms:created>
</cp:coreProperties>
</file>