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47" w:rsidRDefault="00FA1047">
      <w:pPr>
        <w:spacing w:line="600" w:lineRule="exact"/>
        <w:jc w:val="left"/>
        <w:outlineLvl w:val="0"/>
        <w:rPr>
          <w:rFonts w:ascii="方正小标宋简体" w:eastAsia="方正小标宋简体"/>
          <w:szCs w:val="21"/>
        </w:rPr>
      </w:pPr>
      <w:bookmarkStart w:id="0" w:name="_Toc15306267"/>
    </w:p>
    <w:p w:rsidR="00FA1047" w:rsidRDefault="00FA1047">
      <w:pPr>
        <w:spacing w:line="600" w:lineRule="exact"/>
        <w:jc w:val="center"/>
        <w:outlineLvl w:val="0"/>
        <w:rPr>
          <w:rFonts w:ascii="方正小标宋简体" w:eastAsia="方正小标宋简体"/>
          <w:sz w:val="72"/>
          <w:szCs w:val="72"/>
        </w:rPr>
      </w:pPr>
    </w:p>
    <w:p w:rsidR="00FA1047" w:rsidRDefault="00FA1047">
      <w:pPr>
        <w:spacing w:line="600" w:lineRule="exact"/>
        <w:jc w:val="center"/>
        <w:outlineLvl w:val="0"/>
        <w:rPr>
          <w:rFonts w:ascii="方正小标宋简体" w:eastAsia="方正小标宋简体"/>
          <w:sz w:val="72"/>
          <w:szCs w:val="72"/>
        </w:rPr>
      </w:pPr>
    </w:p>
    <w:p w:rsidR="00FA1047" w:rsidRDefault="00BE0974">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96597"/>
      <w:bookmarkStart w:id="3" w:name="_Toc15377425"/>
      <w:bookmarkStart w:id="4" w:name="_Toc15396475"/>
      <w:bookmarkStart w:id="5" w:name="_Toc15378441"/>
      <w:r>
        <w:rPr>
          <w:rFonts w:ascii="方正小标宋简体" w:eastAsia="方正小标宋简体" w:cs="方正小标宋简体" w:hint="eastAsia"/>
          <w:sz w:val="72"/>
          <w:szCs w:val="72"/>
        </w:rPr>
        <w:t>2022</w:t>
      </w:r>
      <w:r>
        <w:rPr>
          <w:rFonts w:ascii="方正小标宋简体" w:eastAsia="方正小标宋简体" w:cs="方正小标宋简体" w:hint="eastAsia"/>
          <w:sz w:val="72"/>
          <w:szCs w:val="72"/>
        </w:rPr>
        <w:t>年度</w:t>
      </w:r>
      <w:bookmarkEnd w:id="1"/>
      <w:bookmarkEnd w:id="2"/>
      <w:bookmarkEnd w:id="3"/>
      <w:bookmarkEnd w:id="4"/>
      <w:bookmarkEnd w:id="5"/>
    </w:p>
    <w:p w:rsidR="00FA1047" w:rsidRDefault="00BE0974">
      <w:pPr>
        <w:adjustRightInd w:val="0"/>
        <w:snapToGrid w:val="0"/>
        <w:spacing w:line="360" w:lineRule="auto"/>
        <w:jc w:val="center"/>
        <w:outlineLvl w:val="0"/>
        <w:rPr>
          <w:rFonts w:ascii="方正小标宋简体" w:eastAsia="方正小标宋简体" w:cs="方正小标宋简体"/>
          <w:sz w:val="72"/>
          <w:szCs w:val="72"/>
        </w:rPr>
      </w:pPr>
      <w:bookmarkStart w:id="6" w:name="_Toc15396476"/>
      <w:bookmarkStart w:id="7" w:name="_Toc15377426"/>
      <w:bookmarkStart w:id="8" w:name="_Toc15378442"/>
      <w:bookmarkStart w:id="9" w:name="_Toc15377194"/>
      <w:bookmarkStart w:id="10" w:name="_Toc15396598"/>
      <w:r>
        <w:rPr>
          <w:rFonts w:ascii="方正小标宋简体" w:eastAsia="方正小标宋简体" w:cs="方正小标宋简体" w:hint="eastAsia"/>
          <w:sz w:val="72"/>
          <w:szCs w:val="72"/>
        </w:rPr>
        <w:t>攀枝花市</w:t>
      </w:r>
      <w:bookmarkStart w:id="11" w:name="_Toc15306268"/>
      <w:bookmarkEnd w:id="0"/>
      <w:r>
        <w:rPr>
          <w:rFonts w:ascii="方正小标宋简体" w:eastAsia="方正小标宋简体" w:hint="eastAsia"/>
          <w:color w:val="000000"/>
          <w:sz w:val="72"/>
          <w:szCs w:val="72"/>
        </w:rPr>
        <w:t>园林绿化服务中心</w:t>
      </w:r>
      <w:r>
        <w:rPr>
          <w:rFonts w:ascii="方正小标宋简体" w:eastAsia="方正小标宋简体" w:cs="方正小标宋简体" w:hint="eastAsia"/>
          <w:sz w:val="72"/>
          <w:szCs w:val="72"/>
        </w:rPr>
        <w:t>单位决算</w:t>
      </w:r>
      <w:bookmarkEnd w:id="6"/>
      <w:bookmarkEnd w:id="7"/>
      <w:bookmarkEnd w:id="8"/>
      <w:bookmarkEnd w:id="9"/>
      <w:bookmarkEnd w:id="10"/>
      <w:bookmarkEnd w:id="11"/>
    </w:p>
    <w:p w:rsidR="00FA1047" w:rsidRDefault="00FA1047">
      <w:pPr>
        <w:adjustRightInd w:val="0"/>
        <w:snapToGrid w:val="0"/>
        <w:spacing w:line="360" w:lineRule="auto"/>
        <w:jc w:val="center"/>
        <w:outlineLvl w:val="0"/>
        <w:rPr>
          <w:rFonts w:ascii="方正小标宋简体" w:eastAsia="方正小标宋简体"/>
          <w:sz w:val="52"/>
          <w:szCs w:val="52"/>
        </w:rPr>
      </w:pPr>
    </w:p>
    <w:p w:rsidR="00FA1047" w:rsidRDefault="00BE0974">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lastRenderedPageBreak/>
        <w:t>目录</w:t>
      </w:r>
    </w:p>
    <w:p w:rsidR="00FA1047" w:rsidRDefault="00FA1047">
      <w:pPr>
        <w:pStyle w:val="10"/>
      </w:pPr>
    </w:p>
    <w:p w:rsidR="00FA1047" w:rsidRDefault="00BE0974">
      <w:pPr>
        <w:pStyle w:val="10"/>
      </w:pPr>
      <w:r>
        <w:rPr>
          <w:rFonts w:hint="eastAsia"/>
        </w:rPr>
        <w:t xml:space="preserve">  </w:t>
      </w:r>
      <w:r>
        <w:rPr>
          <w:rFonts w:hint="eastAsia"/>
        </w:rPr>
        <w:t>公开时间：</w:t>
      </w:r>
      <w:r>
        <w:rPr>
          <w:rFonts w:hint="eastAsia"/>
        </w:rPr>
        <w:t>2023</w:t>
      </w:r>
      <w:r>
        <w:rPr>
          <w:rFonts w:hint="eastAsia"/>
        </w:rPr>
        <w:t>年</w:t>
      </w:r>
      <w:r>
        <w:rPr>
          <w:rFonts w:hint="eastAsia"/>
        </w:rPr>
        <w:t>9</w:t>
      </w:r>
      <w:r>
        <w:rPr>
          <w:rFonts w:hint="eastAsia"/>
        </w:rPr>
        <w:t>月</w:t>
      </w:r>
      <w:r>
        <w:t>1</w:t>
      </w:r>
      <w:r w:rsidR="00DD251B">
        <w:rPr>
          <w:rFonts w:hint="eastAsia"/>
        </w:rPr>
        <w:t>5</w:t>
      </w:r>
      <w:bookmarkStart w:id="12" w:name="_GoBack"/>
      <w:bookmarkEnd w:id="12"/>
      <w:r>
        <w:rPr>
          <w:rFonts w:hint="eastAsia"/>
        </w:rPr>
        <w:t>日</w:t>
      </w:r>
    </w:p>
    <w:p w:rsidR="00FA1047" w:rsidRDefault="00FA1047"/>
    <w:p w:rsidR="00FA1047" w:rsidRDefault="00BE0974">
      <w:pPr>
        <w:pStyle w:val="10"/>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r>
        <w:rPr>
          <w:rFonts w:cs="Arial"/>
          <w:sz w:val="24"/>
          <w:szCs w:val="24"/>
        </w:rPr>
        <w:tab/>
      </w:r>
      <w:r>
        <w:rPr>
          <w:rFonts w:cs="Arial" w:hint="eastAsia"/>
          <w:sz w:val="24"/>
          <w:szCs w:val="24"/>
        </w:rPr>
        <w:t>4</w:t>
      </w:r>
    </w:p>
    <w:p w:rsidR="00FA1047" w:rsidRDefault="00BE0974" w:rsidP="00DD251B">
      <w:pPr>
        <w:pStyle w:val="20"/>
        <w:adjustRightInd w:val="0"/>
        <w:snapToGrid w:val="0"/>
        <w:spacing w:line="440" w:lineRule="exact"/>
        <w:ind w:left="420"/>
        <w:jc w:val="left"/>
        <w:rPr>
          <w:sz w:val="24"/>
        </w:rPr>
      </w:pPr>
      <w:r>
        <w:rPr>
          <w:rFonts w:hint="eastAsia"/>
          <w:sz w:val="24"/>
        </w:rPr>
        <w:t>一、主要职责</w:t>
      </w:r>
      <w:r>
        <w:rPr>
          <w:rFonts w:cs="Arial"/>
          <w:sz w:val="24"/>
        </w:rPr>
        <w:tab/>
      </w:r>
      <w:r>
        <w:rPr>
          <w:rFonts w:cs="Arial" w:hint="eastAsia"/>
          <w:sz w:val="24"/>
        </w:rPr>
        <w:t>4</w:t>
      </w:r>
    </w:p>
    <w:p w:rsidR="00FA1047" w:rsidRDefault="00BE0974" w:rsidP="00DD251B">
      <w:pPr>
        <w:pStyle w:val="20"/>
        <w:adjustRightInd w:val="0"/>
        <w:snapToGrid w:val="0"/>
        <w:spacing w:line="440" w:lineRule="exact"/>
        <w:ind w:left="420"/>
        <w:jc w:val="left"/>
      </w:pPr>
      <w:r>
        <w:rPr>
          <w:rFonts w:hint="eastAsia"/>
          <w:sz w:val="24"/>
        </w:rPr>
        <w:t>二、机构设置</w:t>
      </w:r>
      <w:r>
        <w:rPr>
          <w:rFonts w:hint="eastAsia"/>
          <w:sz w:val="24"/>
        </w:rPr>
        <w:t>..........................................................................................................4</w:t>
      </w:r>
    </w:p>
    <w:p w:rsidR="00FA1047" w:rsidRDefault="00BE0974">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年度单位决算情况说明</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一、收入支出决算总体情况说明</w:t>
      </w:r>
      <w:r>
        <w:rPr>
          <w:rFonts w:hint="eastAsia"/>
          <w:sz w:val="24"/>
        </w:rPr>
        <w:t>...........................................................................5</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二、收入决算情况说明</w:t>
      </w:r>
      <w:r>
        <w:rPr>
          <w:rFonts w:hint="eastAsia"/>
          <w:sz w:val="24"/>
        </w:rPr>
        <w:t>..........................................................................................</w:t>
      </w:r>
      <w:r>
        <w:rPr>
          <w:rFonts w:hint="eastAsia"/>
          <w:sz w:val="24"/>
        </w:rPr>
        <w:t>5</w:t>
      </w:r>
      <w:proofErr w:type="gramStart"/>
      <w:r>
        <w:rPr>
          <w:rFonts w:hint="eastAsia"/>
          <w:sz w:val="24"/>
        </w:rPr>
        <w:t>三</w:t>
      </w:r>
      <w:proofErr w:type="gramEnd"/>
      <w:r>
        <w:rPr>
          <w:rFonts w:hint="eastAsia"/>
          <w:sz w:val="24"/>
        </w:rPr>
        <w:t>、支出决算情况说明</w:t>
      </w:r>
      <w:r>
        <w:rPr>
          <w:rFonts w:hint="eastAsia"/>
          <w:sz w:val="24"/>
        </w:rPr>
        <w:t>......................................................</w:t>
      </w:r>
      <w:r>
        <w:rPr>
          <w:rFonts w:hint="eastAsia"/>
          <w:sz w:val="24"/>
        </w:rPr>
        <w:t>....................................6</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四、财政拨款收入支出决算总体情况说明</w:t>
      </w:r>
      <w:r>
        <w:rPr>
          <w:rFonts w:hint="eastAsia"/>
          <w:sz w:val="24"/>
        </w:rPr>
        <w:t>..........................................................7</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五、一般公共预算财政拨款支出决算情况说明</w:t>
      </w:r>
      <w:r>
        <w:rPr>
          <w:rFonts w:hint="eastAsia"/>
          <w:sz w:val="24"/>
        </w:rPr>
        <w:t>...................................................7</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六、一般公共预算财政拨款基本支出决算情况说明</w:t>
      </w:r>
      <w:r>
        <w:rPr>
          <w:rFonts w:hint="eastAsia"/>
          <w:sz w:val="24"/>
        </w:rPr>
        <w:t>.........................................10</w:t>
      </w:r>
    </w:p>
    <w:p w:rsidR="00FA1047" w:rsidRDefault="00BE0974" w:rsidP="00DD251B">
      <w:pPr>
        <w:pStyle w:val="20"/>
        <w:adjustRightInd w:val="0"/>
        <w:snapToGrid w:val="0"/>
        <w:spacing w:line="440" w:lineRule="exact"/>
        <w:ind w:left="420"/>
        <w:jc w:val="left"/>
        <w:rPr>
          <w:rFonts w:ascii="仿宋" w:hAnsi="仿宋" w:cs="Arial"/>
          <w:sz w:val="24"/>
        </w:rPr>
      </w:pPr>
      <w:r>
        <w:rPr>
          <w:rFonts w:hint="eastAsia"/>
          <w:sz w:val="24"/>
        </w:rPr>
        <w:t>七</w:t>
      </w:r>
      <w:r>
        <w:rPr>
          <w:rFonts w:hint="eastAsia"/>
          <w:sz w:val="24"/>
        </w:rPr>
        <w:t>、财政拨款“三公”经费支出决算情况说明</w:t>
      </w:r>
      <w:r>
        <w:rPr>
          <w:rFonts w:hint="eastAsia"/>
          <w:sz w:val="24"/>
        </w:rPr>
        <w:t>..................................................1</w:t>
      </w:r>
      <w:r>
        <w:rPr>
          <w:rFonts w:hint="eastAsia"/>
          <w:sz w:val="24"/>
        </w:rPr>
        <w:t>0</w:t>
      </w:r>
    </w:p>
    <w:p w:rsidR="00FA1047" w:rsidRDefault="00BE0974" w:rsidP="00DD251B">
      <w:pPr>
        <w:pStyle w:val="20"/>
        <w:adjustRightInd w:val="0"/>
        <w:snapToGrid w:val="0"/>
        <w:spacing w:line="440" w:lineRule="exact"/>
        <w:ind w:left="420"/>
        <w:jc w:val="left"/>
        <w:rPr>
          <w:rFonts w:ascii="仿宋" w:eastAsia="仿宋" w:cs="Arial"/>
          <w:sz w:val="24"/>
        </w:rPr>
      </w:pPr>
      <w:r>
        <w:rPr>
          <w:rFonts w:hint="eastAsia"/>
          <w:sz w:val="24"/>
        </w:rPr>
        <w:t>八、政府性基金预算支出决算情况说明</w:t>
      </w:r>
      <w:r>
        <w:rPr>
          <w:rFonts w:hint="eastAsia"/>
          <w:sz w:val="24"/>
        </w:rPr>
        <w:t>............................................................12</w:t>
      </w:r>
    </w:p>
    <w:p w:rsidR="00FA1047" w:rsidRDefault="00BE0974" w:rsidP="00DD251B">
      <w:pPr>
        <w:pStyle w:val="20"/>
        <w:adjustRightInd w:val="0"/>
        <w:snapToGrid w:val="0"/>
        <w:spacing w:line="440" w:lineRule="exact"/>
        <w:ind w:left="420"/>
        <w:jc w:val="left"/>
        <w:rPr>
          <w:sz w:val="24"/>
        </w:rPr>
      </w:pPr>
      <w:r>
        <w:rPr>
          <w:rFonts w:hint="eastAsia"/>
          <w:sz w:val="24"/>
        </w:rPr>
        <w:t>九、国有资本经营预算支出决算情况说明</w:t>
      </w:r>
      <w:r>
        <w:rPr>
          <w:rFonts w:hint="eastAsia"/>
          <w:sz w:val="24"/>
        </w:rPr>
        <w:t>........................................................13</w:t>
      </w:r>
    </w:p>
    <w:p w:rsidR="00FA1047" w:rsidRDefault="00BE0974" w:rsidP="00DD251B">
      <w:pPr>
        <w:pStyle w:val="20"/>
        <w:adjustRightInd w:val="0"/>
        <w:snapToGrid w:val="0"/>
        <w:spacing w:line="440" w:lineRule="exact"/>
        <w:ind w:left="420"/>
        <w:jc w:val="left"/>
        <w:rPr>
          <w:sz w:val="24"/>
        </w:rPr>
      </w:pPr>
      <w:r>
        <w:rPr>
          <w:rFonts w:hint="eastAsia"/>
          <w:sz w:val="24"/>
        </w:rPr>
        <w:t>十、其他重要事项的情况说明</w:t>
      </w:r>
      <w:r>
        <w:rPr>
          <w:rFonts w:hint="eastAsia"/>
          <w:sz w:val="24"/>
        </w:rPr>
        <w:t>............................................................................13</w:t>
      </w:r>
    </w:p>
    <w:p w:rsidR="00FA1047" w:rsidRDefault="00BE0974">
      <w:pPr>
        <w:pStyle w:val="10"/>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r>
        <w:rPr>
          <w:rFonts w:hint="eastAsia"/>
          <w:sz w:val="24"/>
        </w:rPr>
        <w:t>..................................................15</w:t>
      </w:r>
    </w:p>
    <w:p w:rsidR="00FA1047" w:rsidRDefault="00BE0974">
      <w:pPr>
        <w:pStyle w:val="10"/>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r>
        <w:rPr>
          <w:rFonts w:hint="eastAsia"/>
          <w:sz w:val="24"/>
        </w:rPr>
        <w:t>......................................................17</w:t>
      </w:r>
    </w:p>
    <w:p w:rsidR="00FA1047" w:rsidRDefault="00BE0974">
      <w:pPr>
        <w:pStyle w:val="10"/>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r>
        <w:rPr>
          <w:rFonts w:hint="eastAsia"/>
          <w:sz w:val="24"/>
        </w:rPr>
        <w:t>...............................</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一、收入支出决算总表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二、收入决算表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三、支出决算表</w:t>
      </w:r>
      <w:r>
        <w:rPr>
          <w:rFonts w:hint="eastAsia"/>
          <w:sz w:val="24"/>
        </w:rPr>
        <w:t>..............</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四、财政拨款收入支出决算总表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五、财政拨款支出决算明细表</w:t>
      </w:r>
      <w:r>
        <w:rPr>
          <w:rFonts w:hint="eastAsia"/>
          <w:sz w:val="24"/>
        </w:rPr>
        <w:t>..................................................................</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六、一般公共预算财政拨款支出决算表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七、一般公共预算财政拨款支出决算明细表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八、一般公共预算财政拨款基本支出决算明细表</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lastRenderedPageBreak/>
        <w:t>九、一般公共预算财政拨款项目支出决算表</w:t>
      </w:r>
      <w:r>
        <w:rPr>
          <w:rFonts w:hint="eastAsia"/>
          <w:sz w:val="24"/>
        </w:rPr>
        <w:t>..</w:t>
      </w:r>
      <w:r>
        <w:rPr>
          <w:rFonts w:hint="eastAsia"/>
          <w:sz w:val="24"/>
        </w:rPr>
        <w:t>..................................................</w:t>
      </w:r>
      <w:r>
        <w:rPr>
          <w:rFonts w:hint="eastAsia"/>
          <w:sz w:val="24"/>
        </w:rPr>
        <w:t>18</w:t>
      </w:r>
    </w:p>
    <w:p w:rsidR="00FA1047" w:rsidRDefault="00FA1047" w:rsidP="00DD251B">
      <w:pPr>
        <w:pStyle w:val="20"/>
        <w:adjustRightInd w:val="0"/>
        <w:snapToGrid w:val="0"/>
        <w:spacing w:line="440" w:lineRule="exact"/>
        <w:ind w:left="420"/>
        <w:jc w:val="left"/>
        <w:rPr>
          <w:sz w:val="24"/>
        </w:rPr>
      </w:pPr>
    </w:p>
    <w:p w:rsidR="00FA1047" w:rsidRDefault="00BE0974" w:rsidP="00DD251B">
      <w:pPr>
        <w:pStyle w:val="20"/>
        <w:adjustRightInd w:val="0"/>
        <w:snapToGrid w:val="0"/>
        <w:spacing w:line="440" w:lineRule="exact"/>
        <w:ind w:left="420"/>
        <w:jc w:val="left"/>
        <w:rPr>
          <w:sz w:val="24"/>
        </w:rPr>
      </w:pPr>
      <w:r>
        <w:rPr>
          <w:rFonts w:hint="eastAsia"/>
          <w:sz w:val="24"/>
        </w:rPr>
        <w:t>十、政府性基金预算财政拨款收入支出决算表</w:t>
      </w:r>
      <w:r>
        <w:rPr>
          <w:rFonts w:hint="eastAsia"/>
          <w:sz w:val="24"/>
        </w:rPr>
        <w:t>............................................</w:t>
      </w:r>
      <w:r>
        <w:rPr>
          <w:rFonts w:hint="eastAsia"/>
          <w:sz w:val="24"/>
        </w:rPr>
        <w:t>... 18</w:t>
      </w:r>
    </w:p>
    <w:p w:rsidR="00FA1047" w:rsidRDefault="00BE0974" w:rsidP="00DD251B">
      <w:pPr>
        <w:pStyle w:val="20"/>
        <w:adjustRightInd w:val="0"/>
        <w:snapToGrid w:val="0"/>
        <w:spacing w:line="440" w:lineRule="exact"/>
        <w:ind w:left="420"/>
        <w:jc w:val="left"/>
        <w:rPr>
          <w:sz w:val="24"/>
        </w:rPr>
      </w:pPr>
      <w:r>
        <w:rPr>
          <w:rFonts w:hint="eastAsia"/>
          <w:sz w:val="24"/>
        </w:rPr>
        <w:t>十一、国有资本经营预算财政拨款收入支出决算表</w:t>
      </w:r>
      <w:r>
        <w:rPr>
          <w:rFonts w:hint="eastAsia"/>
          <w:sz w:val="24"/>
        </w:rPr>
        <w:t>.......................................</w:t>
      </w:r>
      <w:r>
        <w:rPr>
          <w:rFonts w:hint="eastAsia"/>
          <w:sz w:val="24"/>
        </w:rPr>
        <w:t xml:space="preserve"> 18</w:t>
      </w:r>
    </w:p>
    <w:p w:rsidR="00FA1047" w:rsidRDefault="00BE0974" w:rsidP="00DD251B">
      <w:pPr>
        <w:pStyle w:val="20"/>
        <w:adjustRightInd w:val="0"/>
        <w:snapToGrid w:val="0"/>
        <w:spacing w:line="440" w:lineRule="exact"/>
        <w:ind w:left="420"/>
        <w:jc w:val="left"/>
        <w:rPr>
          <w:sz w:val="24"/>
        </w:rPr>
      </w:pPr>
      <w:r>
        <w:rPr>
          <w:rFonts w:hint="eastAsia"/>
          <w:sz w:val="24"/>
        </w:rPr>
        <w:t>十二、国有资本经营预算财政拨款支出决算表</w:t>
      </w:r>
      <w:r>
        <w:rPr>
          <w:rFonts w:hint="eastAsia"/>
          <w:sz w:val="24"/>
        </w:rPr>
        <w:t>..............................................</w:t>
      </w:r>
      <w:r>
        <w:rPr>
          <w:rFonts w:hint="eastAsia"/>
          <w:sz w:val="24"/>
        </w:rPr>
        <w:t>...</w:t>
      </w:r>
      <w:r>
        <w:rPr>
          <w:rFonts w:hint="eastAsia"/>
          <w:sz w:val="24"/>
        </w:rPr>
        <w:t>18</w:t>
      </w:r>
    </w:p>
    <w:p w:rsidR="00FA1047" w:rsidRDefault="00BE0974" w:rsidP="00DD251B">
      <w:pPr>
        <w:pStyle w:val="20"/>
        <w:adjustRightInd w:val="0"/>
        <w:snapToGrid w:val="0"/>
        <w:spacing w:line="440" w:lineRule="exact"/>
        <w:ind w:left="420"/>
        <w:jc w:val="left"/>
        <w:rPr>
          <w:sz w:val="24"/>
        </w:rPr>
      </w:pPr>
      <w:r>
        <w:rPr>
          <w:rFonts w:hint="eastAsia"/>
          <w:sz w:val="24"/>
        </w:rPr>
        <w:t>十三、财政拨款“三公”经费支出决算表</w:t>
      </w:r>
      <w:r>
        <w:rPr>
          <w:rFonts w:hint="eastAsia"/>
          <w:sz w:val="24"/>
        </w:rPr>
        <w:t>...........................................................</w:t>
      </w:r>
      <w:r>
        <w:rPr>
          <w:rFonts w:hint="eastAsia"/>
          <w:sz w:val="24"/>
        </w:rPr>
        <w:t>18</w:t>
      </w:r>
    </w:p>
    <w:p w:rsidR="00FA1047" w:rsidRDefault="00FA1047">
      <w:pPr>
        <w:widowControl/>
        <w:adjustRightInd w:val="0"/>
        <w:snapToGrid w:val="0"/>
        <w:spacing w:line="440" w:lineRule="exact"/>
        <w:ind w:firstLineChars="550" w:firstLine="1320"/>
        <w:jc w:val="left"/>
        <w:rPr>
          <w:rFonts w:ascii="仿宋" w:eastAsia="仿宋"/>
          <w:sz w:val="24"/>
        </w:rPr>
      </w:pPr>
    </w:p>
    <w:p w:rsidR="00FA1047" w:rsidRDefault="00BE0974">
      <w:pPr>
        <w:widowControl/>
        <w:spacing w:line="440" w:lineRule="exact"/>
        <w:jc w:val="left"/>
        <w:rPr>
          <w:rFonts w:ascii="仿宋" w:eastAsia="仿宋"/>
          <w:bCs/>
          <w:kern w:val="44"/>
          <w:sz w:val="24"/>
        </w:rPr>
      </w:pPr>
      <w:bookmarkStart w:id="13" w:name="_Toc15396599"/>
      <w:bookmarkStart w:id="14" w:name="_Toc15377196"/>
      <w:r>
        <w:rPr>
          <w:rFonts w:ascii="仿宋" w:eastAsia="仿宋"/>
          <w:b/>
          <w:sz w:val="24"/>
        </w:rPr>
        <w:br w:type="page"/>
      </w:r>
    </w:p>
    <w:p w:rsidR="00FA1047" w:rsidRDefault="00BE0974">
      <w:pPr>
        <w:pStyle w:val="1"/>
        <w:jc w:val="center"/>
        <w:rPr>
          <w:rStyle w:val="1Char"/>
          <w:rFonts w:ascii="黑体" w:eastAsia="黑体"/>
          <w:b/>
        </w:rPr>
      </w:pPr>
      <w:r>
        <w:rPr>
          <w:rFonts w:ascii="黑体" w:eastAsia="黑体" w:hint="eastAsia"/>
          <w:b w:val="0"/>
        </w:rPr>
        <w:lastRenderedPageBreak/>
        <w:t>第一部分</w:t>
      </w:r>
      <w:r>
        <w:rPr>
          <w:rFonts w:ascii="黑体" w:eastAsia="黑体" w:hint="eastAsia"/>
          <w:b w:val="0"/>
        </w:rPr>
        <w:t xml:space="preserve"> </w:t>
      </w:r>
      <w:r>
        <w:rPr>
          <w:rFonts w:ascii="黑体" w:eastAsia="黑体" w:hint="eastAsia"/>
          <w:b w:val="0"/>
        </w:rPr>
        <w:t>单位</w:t>
      </w:r>
      <w:r>
        <w:rPr>
          <w:rStyle w:val="1Char"/>
          <w:rFonts w:ascii="黑体" w:eastAsia="黑体" w:hint="eastAsia"/>
        </w:rPr>
        <w:t>概况</w:t>
      </w:r>
      <w:bookmarkEnd w:id="13"/>
      <w:bookmarkEnd w:id="14"/>
    </w:p>
    <w:p w:rsidR="00FA1047" w:rsidRDefault="00FA1047">
      <w:pPr>
        <w:widowControl/>
        <w:jc w:val="left"/>
        <w:rPr>
          <w:rFonts w:ascii="黑体" w:eastAsia="黑体"/>
          <w:sz w:val="32"/>
          <w:szCs w:val="32"/>
        </w:rPr>
      </w:pPr>
    </w:p>
    <w:p w:rsidR="00FA1047" w:rsidRDefault="00BE0974">
      <w:pPr>
        <w:pStyle w:val="2"/>
        <w:numPr>
          <w:ilvl w:val="0"/>
          <w:numId w:val="1"/>
        </w:numPr>
        <w:rPr>
          <w:rStyle w:val="2Char"/>
          <w:rFonts w:ascii="黑体" w:eastAsia="黑体"/>
        </w:rPr>
      </w:pPr>
      <w:bookmarkStart w:id="15" w:name="_Toc15377197"/>
      <w:bookmarkStart w:id="16" w:name="_Toc15396600"/>
      <w:r>
        <w:rPr>
          <w:rStyle w:val="2Char"/>
          <w:rFonts w:ascii="黑体" w:eastAsia="黑体" w:hint="eastAsia"/>
        </w:rPr>
        <w:t>主要职责</w:t>
      </w:r>
    </w:p>
    <w:p w:rsidR="00FA1047" w:rsidRDefault="00BE0974">
      <w:pPr>
        <w:pStyle w:val="a0"/>
        <w:adjustRightInd w:val="0"/>
        <w:snapToGrid w:val="0"/>
        <w:spacing w:beforeLines="0" w:before="93" w:line="600" w:lineRule="exact"/>
        <w:ind w:firstLineChars="200" w:firstLine="640"/>
        <w:outlineLvl w:val="2"/>
        <w:rPr>
          <w:rFonts w:ascii="仿宋" w:eastAsia="仿宋"/>
          <w:bCs/>
          <w:color w:val="000000"/>
          <w:sz w:val="32"/>
          <w:szCs w:val="32"/>
        </w:rPr>
      </w:pPr>
      <w:r>
        <w:rPr>
          <w:rFonts w:ascii="仿宋" w:eastAsia="仿宋" w:hint="eastAsia"/>
          <w:bCs/>
          <w:color w:val="000000"/>
          <w:sz w:val="32"/>
          <w:szCs w:val="32"/>
        </w:rPr>
        <w:t>1.</w:t>
      </w:r>
      <w:r>
        <w:rPr>
          <w:rFonts w:ascii="仿宋" w:eastAsia="仿宋" w:hint="eastAsia"/>
          <w:bCs/>
          <w:color w:val="000000"/>
          <w:sz w:val="32"/>
          <w:szCs w:val="32"/>
        </w:rPr>
        <w:t>攀枝花市园林绿化服务中心主要从事城市园林绿地系统规划、城市园林绿地建设、城市园林绿地管理与维护；花卉、苗木生产、繁育、技术推广；城市生态环境建设、保护、规划；城市园林绿地绿化工程设计；城市园林绿化行业标准研究与编制；休闲场所提供；公园设施维护与管理；公园绿地管理；动植物研究与保护；科普宣传教育；相关社会服务。</w:t>
      </w:r>
    </w:p>
    <w:p w:rsidR="00FA1047" w:rsidRDefault="00BE0974" w:rsidP="00DD251B">
      <w:pPr>
        <w:pStyle w:val="a9"/>
        <w:snapToGrid w:val="0"/>
        <w:spacing w:line="520" w:lineRule="exact"/>
        <w:ind w:firstLine="640"/>
        <w:rPr>
          <w:rFonts w:ascii="仿宋" w:eastAsia="仿宋"/>
          <w:bCs/>
          <w:color w:val="000000"/>
          <w:kern w:val="0"/>
          <w:sz w:val="32"/>
          <w:szCs w:val="32"/>
        </w:rPr>
      </w:pPr>
      <w:r>
        <w:rPr>
          <w:rFonts w:ascii="仿宋" w:eastAsia="仿宋" w:hint="eastAsia"/>
          <w:bCs/>
          <w:color w:val="000000"/>
          <w:kern w:val="0"/>
          <w:sz w:val="32"/>
          <w:szCs w:val="32"/>
        </w:rPr>
        <w:t>2.</w:t>
      </w:r>
      <w:r>
        <w:rPr>
          <w:rFonts w:ascii="仿宋" w:eastAsia="仿宋" w:hint="eastAsia"/>
          <w:bCs/>
          <w:color w:val="000000"/>
          <w:kern w:val="0"/>
          <w:sz w:val="32"/>
          <w:szCs w:val="32"/>
        </w:rPr>
        <w:t>攀枝花市园林绿化服务中心为攀枝花市城市管理行政执法局所属的二级预算单位，单位性质为全额拨款的事业单位。</w:t>
      </w:r>
    </w:p>
    <w:p w:rsidR="00FA1047" w:rsidRDefault="00BE0974">
      <w:pPr>
        <w:snapToGrid w:val="0"/>
        <w:spacing w:line="520" w:lineRule="exact"/>
        <w:ind w:leftChars="71" w:left="149" w:firstLineChars="150" w:firstLine="480"/>
        <w:rPr>
          <w:rFonts w:ascii="仿宋" w:eastAsia="仿宋"/>
          <w:bCs/>
          <w:color w:val="000000"/>
          <w:kern w:val="0"/>
          <w:sz w:val="32"/>
          <w:szCs w:val="32"/>
        </w:rPr>
      </w:pPr>
      <w:r>
        <w:rPr>
          <w:rFonts w:ascii="仿宋" w:eastAsia="仿宋" w:hint="eastAsia"/>
          <w:bCs/>
          <w:color w:val="000000"/>
          <w:kern w:val="0"/>
          <w:sz w:val="32"/>
          <w:szCs w:val="32"/>
        </w:rPr>
        <w:t>3.</w:t>
      </w:r>
      <w:r>
        <w:rPr>
          <w:rFonts w:ascii="仿宋" w:eastAsia="仿宋" w:hint="eastAsia"/>
          <w:bCs/>
          <w:color w:val="000000"/>
          <w:kern w:val="0"/>
          <w:sz w:val="32"/>
          <w:szCs w:val="32"/>
        </w:rPr>
        <w:t>攀枝花市园林绿化服务中心</w:t>
      </w:r>
      <w:r>
        <w:rPr>
          <w:rFonts w:ascii="仿宋" w:eastAsia="仿宋" w:hint="eastAsia"/>
          <w:bCs/>
          <w:color w:val="000000"/>
          <w:kern w:val="0"/>
          <w:sz w:val="32"/>
          <w:szCs w:val="32"/>
        </w:rPr>
        <w:t>2022</w:t>
      </w:r>
      <w:r>
        <w:rPr>
          <w:rFonts w:ascii="仿宋" w:eastAsia="仿宋" w:hint="eastAsia"/>
          <w:bCs/>
          <w:color w:val="000000"/>
          <w:kern w:val="0"/>
          <w:sz w:val="32"/>
          <w:szCs w:val="32"/>
        </w:rPr>
        <w:t>年度年末实有人数为</w:t>
      </w:r>
      <w:r>
        <w:rPr>
          <w:rFonts w:ascii="仿宋" w:eastAsia="仿宋" w:hint="eastAsia"/>
          <w:bCs/>
          <w:color w:val="000000"/>
          <w:kern w:val="0"/>
          <w:sz w:val="32"/>
          <w:szCs w:val="32"/>
        </w:rPr>
        <w:t>253</w:t>
      </w:r>
      <w:r>
        <w:rPr>
          <w:rFonts w:ascii="仿宋" w:eastAsia="仿宋" w:hint="eastAsia"/>
          <w:bCs/>
          <w:color w:val="000000"/>
          <w:kern w:val="0"/>
          <w:sz w:val="32"/>
          <w:szCs w:val="32"/>
        </w:rPr>
        <w:t>人，其中：</w:t>
      </w:r>
      <w:proofErr w:type="gramStart"/>
      <w:r>
        <w:rPr>
          <w:rFonts w:ascii="仿宋" w:eastAsia="仿宋" w:hint="eastAsia"/>
          <w:bCs/>
          <w:color w:val="000000"/>
          <w:kern w:val="0"/>
          <w:sz w:val="32"/>
          <w:szCs w:val="32"/>
        </w:rPr>
        <w:t>非参公事</w:t>
      </w:r>
      <w:proofErr w:type="gramEnd"/>
      <w:r>
        <w:rPr>
          <w:rFonts w:ascii="仿宋" w:eastAsia="仿宋" w:hint="eastAsia"/>
          <w:bCs/>
          <w:color w:val="000000"/>
          <w:kern w:val="0"/>
          <w:sz w:val="32"/>
          <w:szCs w:val="32"/>
        </w:rPr>
        <w:t>业人员</w:t>
      </w:r>
      <w:r>
        <w:rPr>
          <w:rFonts w:ascii="仿宋" w:eastAsia="仿宋" w:hint="eastAsia"/>
          <w:bCs/>
          <w:color w:val="000000"/>
          <w:kern w:val="0"/>
          <w:sz w:val="32"/>
          <w:szCs w:val="32"/>
        </w:rPr>
        <w:t>25</w:t>
      </w:r>
      <w:r>
        <w:rPr>
          <w:rFonts w:ascii="仿宋" w:eastAsia="仿宋" w:hint="eastAsia"/>
          <w:bCs/>
          <w:color w:val="000000"/>
          <w:kern w:val="0"/>
          <w:sz w:val="32"/>
          <w:szCs w:val="32"/>
        </w:rPr>
        <w:t>1</w:t>
      </w:r>
      <w:r>
        <w:rPr>
          <w:rFonts w:ascii="仿宋" w:eastAsia="仿宋" w:hint="eastAsia"/>
          <w:bCs/>
          <w:color w:val="000000"/>
          <w:kern w:val="0"/>
          <w:sz w:val="32"/>
          <w:szCs w:val="32"/>
        </w:rPr>
        <w:t>人（含编内聘用人员</w:t>
      </w:r>
      <w:r>
        <w:rPr>
          <w:rFonts w:ascii="仿宋" w:eastAsia="仿宋" w:hint="eastAsia"/>
          <w:bCs/>
          <w:color w:val="000000"/>
          <w:kern w:val="0"/>
          <w:sz w:val="32"/>
          <w:szCs w:val="32"/>
        </w:rPr>
        <w:t>5</w:t>
      </w:r>
      <w:r>
        <w:rPr>
          <w:rFonts w:ascii="仿宋" w:eastAsia="仿宋" w:hint="eastAsia"/>
          <w:bCs/>
          <w:color w:val="000000"/>
          <w:kern w:val="0"/>
          <w:sz w:val="32"/>
          <w:szCs w:val="32"/>
        </w:rPr>
        <w:t>人），离休</w:t>
      </w:r>
      <w:r>
        <w:rPr>
          <w:rFonts w:ascii="仿宋" w:eastAsia="仿宋" w:hint="eastAsia"/>
          <w:bCs/>
          <w:color w:val="000000"/>
          <w:kern w:val="0"/>
          <w:sz w:val="32"/>
          <w:szCs w:val="32"/>
        </w:rPr>
        <w:t>2</w:t>
      </w:r>
      <w:r>
        <w:rPr>
          <w:rFonts w:ascii="仿宋" w:eastAsia="仿宋" w:hint="eastAsia"/>
          <w:bCs/>
          <w:color w:val="000000"/>
          <w:kern w:val="0"/>
          <w:sz w:val="32"/>
          <w:szCs w:val="32"/>
        </w:rPr>
        <w:t>人。年末遗属</w:t>
      </w:r>
      <w:r>
        <w:rPr>
          <w:rFonts w:ascii="仿宋" w:eastAsia="仿宋" w:hint="eastAsia"/>
          <w:bCs/>
          <w:kern w:val="0"/>
          <w:sz w:val="32"/>
          <w:szCs w:val="32"/>
        </w:rPr>
        <w:t>66</w:t>
      </w:r>
      <w:r>
        <w:rPr>
          <w:rFonts w:ascii="仿宋" w:eastAsia="仿宋" w:hint="eastAsia"/>
          <w:bCs/>
          <w:color w:val="000000"/>
          <w:kern w:val="0"/>
          <w:sz w:val="32"/>
          <w:szCs w:val="32"/>
        </w:rPr>
        <w:t>人。</w:t>
      </w:r>
    </w:p>
    <w:p w:rsidR="00FA1047" w:rsidRDefault="00FA1047"/>
    <w:p w:rsidR="00FA1047" w:rsidRDefault="00BE0974">
      <w:pPr>
        <w:pStyle w:val="2"/>
        <w:rPr>
          <w:rFonts w:ascii="黑体" w:eastAsia="黑体"/>
          <w:b w:val="0"/>
        </w:rPr>
      </w:pPr>
      <w:r>
        <w:rPr>
          <w:rFonts w:ascii="黑体" w:eastAsia="黑体" w:hint="eastAsia"/>
          <w:b w:val="0"/>
        </w:rPr>
        <w:t>二、机构设置</w:t>
      </w:r>
    </w:p>
    <w:bookmarkEnd w:id="15"/>
    <w:bookmarkEnd w:id="16"/>
    <w:p w:rsidR="00FA1047" w:rsidRDefault="00BE0974">
      <w:pPr>
        <w:ind w:firstLineChars="250" w:firstLine="800"/>
        <w:rPr>
          <w:rFonts w:ascii="仿宋" w:eastAsia="仿宋"/>
          <w:sz w:val="32"/>
          <w:szCs w:val="32"/>
        </w:rPr>
      </w:pPr>
      <w:r>
        <w:rPr>
          <w:rFonts w:ascii="仿宋" w:eastAsia="仿宋" w:hint="eastAsia"/>
          <w:sz w:val="32"/>
          <w:szCs w:val="32"/>
        </w:rPr>
        <w:t>攀枝花市园林绿化服务中心是全额拨款的事业单位，是攀枝花市城市管理行政执法局下属的二级预算单位，实行的是政府会计准则制度。</w:t>
      </w:r>
    </w:p>
    <w:p w:rsidR="00FA1047" w:rsidRDefault="00FA1047">
      <w:pPr>
        <w:widowControl/>
        <w:jc w:val="left"/>
        <w:rPr>
          <w:rFonts w:ascii="仿宋" w:eastAsia="仿宋"/>
          <w:kern w:val="0"/>
          <w:sz w:val="32"/>
          <w:szCs w:val="32"/>
        </w:rPr>
      </w:pPr>
    </w:p>
    <w:p w:rsidR="00FA1047" w:rsidRDefault="00BE0974">
      <w:pPr>
        <w:pStyle w:val="1"/>
        <w:ind w:right="440"/>
        <w:jc w:val="center"/>
        <w:rPr>
          <w:rStyle w:val="1Char"/>
          <w:rFonts w:ascii="黑体" w:eastAsia="黑体"/>
          <w:bCs/>
        </w:rPr>
      </w:pPr>
      <w:bookmarkStart w:id="17" w:name="_Toc15396602"/>
      <w:bookmarkStart w:id="18" w:name="_Toc15377204"/>
      <w:r>
        <w:rPr>
          <w:rFonts w:ascii="黑体" w:eastAsia="黑体" w:hint="eastAsia"/>
          <w:b w:val="0"/>
        </w:rPr>
        <w:t>第二部分</w:t>
      </w:r>
      <w:r>
        <w:rPr>
          <w:rFonts w:ascii="黑体" w:eastAsia="黑体" w:hint="eastAsia"/>
          <w:b w:val="0"/>
        </w:rPr>
        <w:t xml:space="preserve"> 2022</w:t>
      </w:r>
      <w:r>
        <w:rPr>
          <w:rFonts w:ascii="黑体" w:eastAsia="黑体" w:hint="eastAsia"/>
          <w:b w:val="0"/>
        </w:rPr>
        <w:t>年度</w:t>
      </w:r>
      <w:r>
        <w:rPr>
          <w:rStyle w:val="1Char"/>
          <w:rFonts w:ascii="黑体" w:eastAsia="黑体" w:hint="eastAsia"/>
          <w:bCs/>
        </w:rPr>
        <w:t>单位决算情况说明</w:t>
      </w:r>
      <w:bookmarkEnd w:id="17"/>
      <w:bookmarkEnd w:id="18"/>
    </w:p>
    <w:p w:rsidR="00FA1047" w:rsidRDefault="00FA1047"/>
    <w:p w:rsidR="00FA1047" w:rsidRDefault="00BE0974">
      <w:pPr>
        <w:pStyle w:val="a9"/>
        <w:numPr>
          <w:ilvl w:val="0"/>
          <w:numId w:val="2"/>
        </w:numPr>
        <w:spacing w:line="600" w:lineRule="exact"/>
        <w:ind w:firstLineChars="0"/>
        <w:outlineLvl w:val="1"/>
        <w:rPr>
          <w:rStyle w:val="2Char"/>
          <w:rFonts w:ascii="黑体" w:eastAsia="黑体"/>
          <w:b w:val="0"/>
        </w:rPr>
      </w:pPr>
      <w:bookmarkStart w:id="19" w:name="_Toc15396603"/>
      <w:bookmarkStart w:id="20" w:name="_Toc15377205"/>
      <w:r>
        <w:rPr>
          <w:rFonts w:ascii="黑体" w:eastAsia="黑体" w:hint="eastAsia"/>
          <w:sz w:val="32"/>
          <w:szCs w:val="32"/>
        </w:rPr>
        <w:t>收</w:t>
      </w:r>
      <w:r>
        <w:rPr>
          <w:rStyle w:val="2Char"/>
          <w:rFonts w:ascii="黑体" w:eastAsia="黑体" w:hint="eastAsia"/>
          <w:b w:val="0"/>
        </w:rPr>
        <w:t>入支出决算总体情况说明</w:t>
      </w:r>
      <w:bookmarkEnd w:id="19"/>
      <w:bookmarkEnd w:id="20"/>
    </w:p>
    <w:p w:rsidR="00FA1047" w:rsidRDefault="00BE0974">
      <w:pPr>
        <w:ind w:firstLineChars="196" w:firstLine="627"/>
        <w:rPr>
          <w:rFonts w:ascii="仿宋_GB2312" w:eastAsia="仿宋_GB2312"/>
          <w:sz w:val="32"/>
          <w:szCs w:val="32"/>
        </w:rPr>
      </w:pPr>
      <w:r>
        <w:rPr>
          <w:rFonts w:ascii="仿宋" w:eastAsia="仿宋" w:hint="eastAsia"/>
          <w:sz w:val="32"/>
          <w:szCs w:val="32"/>
        </w:rPr>
        <w:t>2022</w:t>
      </w:r>
      <w:r>
        <w:rPr>
          <w:rFonts w:ascii="仿宋" w:eastAsia="仿宋" w:hint="eastAsia"/>
          <w:sz w:val="32"/>
          <w:szCs w:val="32"/>
        </w:rPr>
        <w:t>年预算总收入为</w:t>
      </w:r>
      <w:r>
        <w:rPr>
          <w:rFonts w:ascii="仿宋" w:eastAsia="仿宋" w:hint="eastAsia"/>
          <w:sz w:val="32"/>
          <w:szCs w:val="32"/>
        </w:rPr>
        <w:t>7258.97</w:t>
      </w:r>
      <w:r>
        <w:rPr>
          <w:rFonts w:ascii="仿宋" w:eastAsia="仿宋" w:hint="eastAsia"/>
          <w:sz w:val="32"/>
          <w:szCs w:val="32"/>
        </w:rPr>
        <w:t>万元，</w:t>
      </w:r>
      <w:r>
        <w:rPr>
          <w:rFonts w:ascii="仿宋" w:eastAsia="仿宋" w:hint="eastAsia"/>
          <w:sz w:val="32"/>
          <w:szCs w:val="32"/>
        </w:rPr>
        <w:t>2021</w:t>
      </w:r>
      <w:r>
        <w:rPr>
          <w:rFonts w:ascii="仿宋" w:eastAsia="仿宋" w:hint="eastAsia"/>
          <w:sz w:val="32"/>
          <w:szCs w:val="32"/>
        </w:rPr>
        <w:t>年预算总收入为</w:t>
      </w:r>
      <w:r>
        <w:rPr>
          <w:rFonts w:ascii="仿宋" w:eastAsia="仿宋" w:hint="eastAsia"/>
          <w:sz w:val="32"/>
          <w:szCs w:val="32"/>
        </w:rPr>
        <w:t>7497.07</w:t>
      </w:r>
      <w:r>
        <w:rPr>
          <w:rFonts w:ascii="仿宋" w:eastAsia="仿宋" w:hint="eastAsia"/>
          <w:sz w:val="32"/>
          <w:szCs w:val="32"/>
        </w:rPr>
        <w:t>万元，</w:t>
      </w:r>
      <w:r>
        <w:rPr>
          <w:rFonts w:ascii="仿宋" w:eastAsia="仿宋" w:hint="eastAsia"/>
          <w:sz w:val="32"/>
          <w:szCs w:val="32"/>
        </w:rPr>
        <w:t>2022</w:t>
      </w:r>
      <w:r>
        <w:rPr>
          <w:rFonts w:ascii="仿宋" w:eastAsia="仿宋" w:hint="eastAsia"/>
          <w:sz w:val="32"/>
          <w:szCs w:val="32"/>
        </w:rPr>
        <w:t>年预算总收入比上年减少</w:t>
      </w:r>
      <w:r>
        <w:rPr>
          <w:rFonts w:ascii="仿宋" w:eastAsia="仿宋" w:hint="eastAsia"/>
          <w:sz w:val="32"/>
          <w:szCs w:val="32"/>
        </w:rPr>
        <w:t>238.1</w:t>
      </w:r>
      <w:r>
        <w:rPr>
          <w:rFonts w:ascii="仿宋" w:eastAsia="仿宋" w:hint="eastAsia"/>
          <w:sz w:val="32"/>
          <w:szCs w:val="32"/>
        </w:rPr>
        <w:t>万元，下降</w:t>
      </w:r>
      <w:r>
        <w:rPr>
          <w:rFonts w:ascii="仿宋" w:eastAsia="仿宋" w:hint="eastAsia"/>
          <w:sz w:val="32"/>
          <w:szCs w:val="32"/>
        </w:rPr>
        <w:t>3.18</w:t>
      </w:r>
      <w:r>
        <w:rPr>
          <w:rFonts w:ascii="仿宋" w:eastAsia="仿宋"/>
          <w:sz w:val="32"/>
          <w:szCs w:val="32"/>
        </w:rPr>
        <w:t>%</w:t>
      </w:r>
      <w:r>
        <w:rPr>
          <w:rFonts w:ascii="仿宋" w:eastAsia="仿宋" w:hint="eastAsia"/>
          <w:sz w:val="32"/>
          <w:szCs w:val="32"/>
        </w:rPr>
        <w:t>。减少的原因是：</w:t>
      </w:r>
      <w:r>
        <w:rPr>
          <w:rFonts w:ascii="仿宋_GB2312" w:eastAsia="仿宋_GB2312" w:hint="eastAsia"/>
          <w:sz w:val="32"/>
          <w:szCs w:val="32"/>
        </w:rPr>
        <w:t>2022</w:t>
      </w:r>
      <w:r>
        <w:rPr>
          <w:rFonts w:ascii="仿宋_GB2312" w:eastAsia="仿宋_GB2312" w:hint="eastAsia"/>
          <w:sz w:val="32"/>
          <w:szCs w:val="32"/>
        </w:rPr>
        <w:t>年压减了公用经费及项目经费支出；</w:t>
      </w:r>
      <w:r>
        <w:rPr>
          <w:rFonts w:ascii="仿宋_GB2312" w:eastAsia="仿宋_GB2312" w:hint="eastAsia"/>
          <w:sz w:val="32"/>
          <w:szCs w:val="32"/>
        </w:rPr>
        <w:t>2022</w:t>
      </w:r>
      <w:r>
        <w:rPr>
          <w:rFonts w:ascii="仿宋_GB2312" w:eastAsia="仿宋_GB2312" w:hint="eastAsia"/>
          <w:sz w:val="32"/>
          <w:szCs w:val="32"/>
        </w:rPr>
        <w:t>年未安排政府性基金预算财政拨款收入。</w:t>
      </w:r>
      <w:r>
        <w:rPr>
          <w:rFonts w:ascii="仿宋" w:eastAsia="仿宋" w:hint="eastAsia"/>
          <w:sz w:val="32"/>
          <w:szCs w:val="32"/>
        </w:rPr>
        <w:t>2022</w:t>
      </w:r>
      <w:r>
        <w:rPr>
          <w:rFonts w:ascii="仿宋" w:eastAsia="仿宋" w:hint="eastAsia"/>
          <w:sz w:val="32"/>
          <w:szCs w:val="32"/>
        </w:rPr>
        <w:t>年总支出为</w:t>
      </w:r>
      <w:r>
        <w:rPr>
          <w:rFonts w:ascii="仿宋" w:eastAsia="仿宋" w:hint="eastAsia"/>
          <w:sz w:val="32"/>
          <w:szCs w:val="32"/>
        </w:rPr>
        <w:t>7258.97</w:t>
      </w:r>
      <w:r>
        <w:rPr>
          <w:rFonts w:ascii="仿宋" w:eastAsia="仿宋" w:hint="eastAsia"/>
          <w:sz w:val="32"/>
          <w:szCs w:val="32"/>
        </w:rPr>
        <w:t>万元，</w:t>
      </w:r>
      <w:r>
        <w:rPr>
          <w:rFonts w:ascii="仿宋" w:eastAsia="仿宋" w:hint="eastAsia"/>
          <w:sz w:val="32"/>
          <w:szCs w:val="32"/>
        </w:rPr>
        <w:t>2021</w:t>
      </w:r>
      <w:r>
        <w:rPr>
          <w:rFonts w:ascii="仿宋" w:eastAsia="仿宋" w:hint="eastAsia"/>
          <w:sz w:val="32"/>
          <w:szCs w:val="32"/>
        </w:rPr>
        <w:t>年总支出为</w:t>
      </w:r>
      <w:r>
        <w:rPr>
          <w:rFonts w:ascii="仿宋" w:eastAsia="仿宋" w:hint="eastAsia"/>
          <w:sz w:val="32"/>
          <w:szCs w:val="32"/>
        </w:rPr>
        <w:t>7497.07</w:t>
      </w:r>
      <w:r>
        <w:rPr>
          <w:rFonts w:ascii="仿宋" w:eastAsia="仿宋" w:hint="eastAsia"/>
          <w:sz w:val="32"/>
          <w:szCs w:val="32"/>
        </w:rPr>
        <w:t>万元，比上年减少</w:t>
      </w:r>
      <w:r>
        <w:rPr>
          <w:rFonts w:ascii="仿宋" w:eastAsia="仿宋" w:hint="eastAsia"/>
          <w:sz w:val="32"/>
          <w:szCs w:val="32"/>
        </w:rPr>
        <w:t>238.1</w:t>
      </w:r>
      <w:r>
        <w:rPr>
          <w:rFonts w:ascii="仿宋" w:eastAsia="仿宋" w:hint="eastAsia"/>
          <w:sz w:val="32"/>
          <w:szCs w:val="32"/>
        </w:rPr>
        <w:t>万元，下降</w:t>
      </w:r>
      <w:r>
        <w:rPr>
          <w:rFonts w:ascii="仿宋" w:eastAsia="仿宋" w:hint="eastAsia"/>
          <w:sz w:val="32"/>
          <w:szCs w:val="32"/>
        </w:rPr>
        <w:t>3.18</w:t>
      </w:r>
      <w:r>
        <w:rPr>
          <w:rFonts w:ascii="仿宋" w:eastAsia="仿宋"/>
          <w:sz w:val="32"/>
          <w:szCs w:val="32"/>
        </w:rPr>
        <w:t>%</w:t>
      </w:r>
      <w:r>
        <w:rPr>
          <w:rFonts w:ascii="仿宋" w:eastAsia="仿宋" w:hint="eastAsia"/>
          <w:sz w:val="32"/>
          <w:szCs w:val="32"/>
        </w:rPr>
        <w:t>。减少的原因是：</w:t>
      </w:r>
      <w:r>
        <w:rPr>
          <w:rFonts w:ascii="仿宋_GB2312" w:eastAsia="仿宋_GB2312" w:hint="eastAsia"/>
          <w:sz w:val="32"/>
          <w:szCs w:val="32"/>
        </w:rPr>
        <w:t>2022</w:t>
      </w:r>
      <w:r>
        <w:rPr>
          <w:rFonts w:ascii="仿宋_GB2312" w:eastAsia="仿宋_GB2312" w:hint="eastAsia"/>
          <w:sz w:val="32"/>
          <w:szCs w:val="32"/>
        </w:rPr>
        <w:t>年压减了公用经费及项目经费支出。</w:t>
      </w:r>
      <w:r>
        <w:rPr>
          <w:rFonts w:ascii="仿宋_GB2312" w:eastAsia="仿宋_GB2312" w:hint="eastAsia"/>
          <w:sz w:val="32"/>
          <w:szCs w:val="32"/>
        </w:rPr>
        <w:t xml:space="preserve"> </w:t>
      </w:r>
    </w:p>
    <w:p w:rsidR="00FA1047" w:rsidRDefault="00BE0974">
      <w:pPr>
        <w:pStyle w:val="a0"/>
        <w:spacing w:beforeLines="0" w:before="93"/>
        <w:jc w:val="center"/>
        <w:rPr>
          <w:sz w:val="32"/>
          <w:szCs w:val="32"/>
        </w:rPr>
      </w:pPr>
      <w:r>
        <w:rPr>
          <w:rFonts w:ascii="仿宋" w:eastAsia="仿宋"/>
          <w:noProof/>
          <w:sz w:val="32"/>
          <w:szCs w:val="32"/>
        </w:rPr>
        <w:drawing>
          <wp:inline distT="0" distB="0" distL="0" distR="0">
            <wp:extent cx="4040505" cy="2447290"/>
            <wp:effectExtent l="0" t="0" r="0" b="0"/>
            <wp:docPr id="1"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1047" w:rsidRDefault="00BE0974">
      <w:pPr>
        <w:pStyle w:val="a0"/>
        <w:spacing w:beforeLines="0" w:before="93"/>
        <w:ind w:firstLineChars="400" w:firstLine="1280"/>
        <w:rPr>
          <w:rFonts w:ascii="仿宋" w:eastAsia="仿宋"/>
          <w:sz w:val="32"/>
          <w:szCs w:val="32"/>
        </w:rPr>
      </w:pP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w:t>
      </w:r>
    </w:p>
    <w:p w:rsidR="00FA1047" w:rsidRDefault="00FA1047">
      <w:pPr>
        <w:spacing w:line="600" w:lineRule="exact"/>
        <w:ind w:firstLineChars="200" w:firstLine="640"/>
        <w:jc w:val="left"/>
        <w:rPr>
          <w:rFonts w:ascii="仿宋_GB2312" w:eastAsia="仿宋_GB2312"/>
          <w:sz w:val="32"/>
          <w:szCs w:val="32"/>
        </w:rPr>
      </w:pPr>
    </w:p>
    <w:p w:rsidR="00FA1047" w:rsidRDefault="00BE0974">
      <w:pPr>
        <w:pStyle w:val="a9"/>
        <w:numPr>
          <w:ilvl w:val="0"/>
          <w:numId w:val="2"/>
        </w:numPr>
        <w:spacing w:line="600" w:lineRule="exact"/>
        <w:ind w:firstLineChars="0"/>
        <w:outlineLvl w:val="1"/>
        <w:rPr>
          <w:rStyle w:val="2Char"/>
          <w:rFonts w:ascii="黑体" w:eastAsia="黑体"/>
          <w:b w:val="0"/>
        </w:rPr>
      </w:pPr>
      <w:bookmarkStart w:id="21" w:name="_Toc15396604"/>
      <w:bookmarkStart w:id="22" w:name="_Toc15377206"/>
      <w:r>
        <w:rPr>
          <w:rFonts w:ascii="黑体" w:eastAsia="黑体" w:hint="eastAsia"/>
          <w:sz w:val="32"/>
          <w:szCs w:val="32"/>
        </w:rPr>
        <w:t>收</w:t>
      </w:r>
      <w:r>
        <w:rPr>
          <w:rStyle w:val="2Char"/>
          <w:rFonts w:ascii="黑体" w:eastAsia="黑体" w:hint="eastAsia"/>
          <w:b w:val="0"/>
        </w:rPr>
        <w:t>入决算情况说明</w:t>
      </w:r>
      <w:bookmarkEnd w:id="21"/>
      <w:bookmarkEnd w:id="22"/>
    </w:p>
    <w:p w:rsidR="00FA1047" w:rsidRDefault="00BE0974">
      <w:pPr>
        <w:spacing w:line="600" w:lineRule="exact"/>
        <w:ind w:firstLineChars="200" w:firstLine="640"/>
        <w:outlineLvl w:val="1"/>
        <w:rPr>
          <w:rFonts w:ascii="仿宋" w:eastAsia="仿宋"/>
          <w:sz w:val="30"/>
          <w:szCs w:val="30"/>
        </w:rPr>
      </w:pPr>
      <w:r>
        <w:rPr>
          <w:rFonts w:ascii="仿宋" w:eastAsia="仿宋"/>
          <w:sz w:val="32"/>
          <w:szCs w:val="32"/>
        </w:rPr>
        <w:lastRenderedPageBreak/>
        <w:t>20</w:t>
      </w:r>
      <w:r>
        <w:rPr>
          <w:rFonts w:ascii="仿宋" w:eastAsia="仿宋" w:hint="eastAsia"/>
          <w:sz w:val="32"/>
          <w:szCs w:val="32"/>
        </w:rPr>
        <w:t>22</w:t>
      </w:r>
      <w:r>
        <w:rPr>
          <w:rFonts w:ascii="仿宋" w:eastAsia="仿宋" w:hint="eastAsia"/>
          <w:sz w:val="32"/>
          <w:szCs w:val="32"/>
        </w:rPr>
        <w:t>年本年收入合计</w:t>
      </w:r>
      <w:r>
        <w:rPr>
          <w:rFonts w:ascii="仿宋" w:eastAsia="仿宋" w:hint="eastAsia"/>
          <w:sz w:val="32"/>
          <w:szCs w:val="32"/>
        </w:rPr>
        <w:t>7258.97</w:t>
      </w:r>
      <w:r>
        <w:rPr>
          <w:rFonts w:ascii="仿宋" w:eastAsia="仿宋" w:hint="eastAsia"/>
          <w:sz w:val="32"/>
          <w:szCs w:val="32"/>
        </w:rPr>
        <w:t>万元，其中：一般公共</w:t>
      </w:r>
      <w:proofErr w:type="gramStart"/>
      <w:r>
        <w:rPr>
          <w:rFonts w:ascii="仿宋" w:eastAsia="仿宋" w:hint="eastAsia"/>
          <w:sz w:val="32"/>
          <w:szCs w:val="32"/>
        </w:rPr>
        <w:t>算财政</w:t>
      </w:r>
      <w:proofErr w:type="gramEnd"/>
      <w:r>
        <w:rPr>
          <w:rFonts w:ascii="仿宋" w:eastAsia="仿宋" w:hint="eastAsia"/>
          <w:sz w:val="32"/>
          <w:szCs w:val="32"/>
        </w:rPr>
        <w:t>拨款收入</w:t>
      </w:r>
      <w:r>
        <w:rPr>
          <w:rFonts w:ascii="仿宋" w:eastAsia="仿宋" w:hint="eastAsia"/>
          <w:sz w:val="32"/>
          <w:szCs w:val="32"/>
        </w:rPr>
        <w:t>7258.97</w:t>
      </w:r>
      <w:r>
        <w:rPr>
          <w:rFonts w:ascii="仿宋" w:eastAsia="仿宋" w:hint="eastAsia"/>
          <w:sz w:val="32"/>
          <w:szCs w:val="32"/>
        </w:rPr>
        <w:t>万元，占</w:t>
      </w:r>
      <w:r>
        <w:rPr>
          <w:rFonts w:ascii="仿宋" w:eastAsia="仿宋" w:hint="eastAsia"/>
          <w:sz w:val="32"/>
          <w:szCs w:val="32"/>
        </w:rPr>
        <w:t>100</w:t>
      </w:r>
      <w:r>
        <w:rPr>
          <w:rFonts w:ascii="仿宋" w:eastAsia="仿宋"/>
          <w:sz w:val="32"/>
          <w:szCs w:val="32"/>
        </w:rPr>
        <w:t>%</w:t>
      </w:r>
      <w:r>
        <w:rPr>
          <w:rFonts w:ascii="仿宋" w:eastAsia="仿宋" w:hint="eastAsia"/>
          <w:sz w:val="32"/>
          <w:szCs w:val="32"/>
        </w:rPr>
        <w:t>。</w:t>
      </w:r>
      <w:r>
        <w:rPr>
          <w:rFonts w:ascii="仿宋" w:eastAsia="仿宋" w:hint="eastAsia"/>
          <w:sz w:val="30"/>
          <w:szCs w:val="30"/>
        </w:rPr>
        <w:t>政府性基金预算财政拨款收入</w:t>
      </w:r>
      <w:r>
        <w:rPr>
          <w:rFonts w:ascii="仿宋" w:eastAsia="仿宋" w:hint="eastAsia"/>
          <w:sz w:val="30"/>
          <w:szCs w:val="30"/>
        </w:rPr>
        <w:t>0</w:t>
      </w:r>
      <w:r>
        <w:rPr>
          <w:rFonts w:ascii="仿宋" w:eastAsia="仿宋" w:hint="eastAsia"/>
          <w:sz w:val="30"/>
          <w:szCs w:val="30"/>
        </w:rPr>
        <w:t>万元，占</w:t>
      </w:r>
      <w:r>
        <w:rPr>
          <w:rFonts w:ascii="仿宋" w:eastAsia="仿宋" w:hint="eastAsia"/>
          <w:sz w:val="30"/>
          <w:szCs w:val="30"/>
        </w:rPr>
        <w:t>0</w:t>
      </w:r>
      <w:r>
        <w:rPr>
          <w:rFonts w:ascii="仿宋" w:eastAsia="仿宋"/>
          <w:sz w:val="30"/>
          <w:szCs w:val="30"/>
        </w:rPr>
        <w:t>%</w:t>
      </w:r>
      <w:r>
        <w:rPr>
          <w:rFonts w:ascii="仿宋" w:eastAsia="仿宋" w:hint="eastAsia"/>
          <w:sz w:val="30"/>
          <w:szCs w:val="30"/>
        </w:rPr>
        <w:t>。</w:t>
      </w:r>
    </w:p>
    <w:p w:rsidR="00FA1047" w:rsidRDefault="00BE0974">
      <w:pPr>
        <w:pStyle w:val="a0"/>
        <w:spacing w:beforeLines="0" w:before="93"/>
        <w:rPr>
          <w:rFonts w:ascii="仿宋" w:eastAsia="仿宋"/>
          <w:szCs w:val="30"/>
        </w:rPr>
      </w:pPr>
      <w:r>
        <w:rPr>
          <w:rFonts w:ascii="仿宋" w:eastAsia="仿宋" w:hint="eastAsia"/>
          <w:noProof/>
          <w:sz w:val="32"/>
          <w:szCs w:val="32"/>
        </w:rPr>
        <w:drawing>
          <wp:anchor distT="0" distB="0" distL="114300" distR="114300" simplePos="0" relativeHeight="24" behindDoc="0" locked="0" layoutInCell="1" hidden="0" allowOverlap="1">
            <wp:simplePos x="0" y="0"/>
            <wp:positionH relativeFrom="column">
              <wp:posOffset>876300</wp:posOffset>
            </wp:positionH>
            <wp:positionV relativeFrom="page">
              <wp:posOffset>2200275</wp:posOffset>
            </wp:positionV>
            <wp:extent cx="3719830" cy="2343150"/>
            <wp:effectExtent l="0" t="0" r="0" b="0"/>
            <wp:wrapTight wrapText="bothSides">
              <wp:wrapPolygon edited="0">
                <wp:start x="0" y="0"/>
                <wp:lineTo x="0" y="21599"/>
                <wp:lineTo x="21569" y="21599"/>
                <wp:lineTo x="21569" y="0"/>
                <wp:lineTo x="0" y="0"/>
              </wp:wrapPolygon>
            </wp:wrapTight>
            <wp:docPr id="2"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FA1047" w:rsidRDefault="00FA1047">
      <w:pPr>
        <w:pStyle w:val="a0"/>
        <w:spacing w:beforeLines="0" w:before="93"/>
        <w:rPr>
          <w:rFonts w:ascii="仿宋" w:eastAsia="仿宋"/>
          <w:szCs w:val="30"/>
        </w:rPr>
      </w:pPr>
    </w:p>
    <w:p w:rsidR="00FA1047" w:rsidRDefault="00FA1047">
      <w:pPr>
        <w:spacing w:line="600" w:lineRule="exact"/>
        <w:rPr>
          <w:rFonts w:ascii="仿宋" w:eastAsia="仿宋"/>
          <w:sz w:val="30"/>
          <w:szCs w:val="30"/>
        </w:rPr>
      </w:pPr>
    </w:p>
    <w:p w:rsidR="00FA1047" w:rsidRDefault="00FA1047">
      <w:pPr>
        <w:pStyle w:val="a0"/>
        <w:spacing w:beforeLines="0" w:before="93"/>
      </w:pPr>
    </w:p>
    <w:p w:rsidR="00FA1047" w:rsidRDefault="00BE0974">
      <w:pPr>
        <w:spacing w:line="600" w:lineRule="exact"/>
        <w:ind w:firstLineChars="800" w:firstLine="2560"/>
        <w:rPr>
          <w:rFonts w:ascii="仿宋" w:eastAsia="仿宋"/>
          <w:sz w:val="32"/>
          <w:szCs w:val="32"/>
        </w:rPr>
      </w:pPr>
      <w:bookmarkStart w:id="23" w:name="_Toc15396605"/>
      <w:bookmarkStart w:id="24" w:name="_Toc15377207"/>
      <w:r>
        <w:rPr>
          <w:rFonts w:ascii="仿宋" w:eastAsia="仿宋" w:hint="eastAsia"/>
          <w:sz w:val="32"/>
          <w:szCs w:val="32"/>
        </w:rPr>
        <w:t>（图</w:t>
      </w:r>
      <w:r>
        <w:rPr>
          <w:rFonts w:ascii="仿宋" w:eastAsia="仿宋" w:hint="eastAsia"/>
          <w:sz w:val="32"/>
          <w:szCs w:val="32"/>
        </w:rPr>
        <w:t>2</w:t>
      </w:r>
      <w:r>
        <w:rPr>
          <w:rFonts w:ascii="仿宋" w:eastAsia="仿宋" w:hint="eastAsia"/>
          <w:sz w:val="32"/>
          <w:szCs w:val="32"/>
        </w:rPr>
        <w:t>：收入决算结构图）</w:t>
      </w:r>
    </w:p>
    <w:p w:rsidR="00FA1047" w:rsidRDefault="00BE0974" w:rsidP="00DD251B">
      <w:pPr>
        <w:pStyle w:val="a9"/>
        <w:spacing w:line="600" w:lineRule="exact"/>
        <w:ind w:firstLine="640"/>
        <w:outlineLvl w:val="1"/>
        <w:rPr>
          <w:rStyle w:val="2Char"/>
          <w:rFonts w:ascii="黑体" w:eastAsia="黑体"/>
          <w:b w:val="0"/>
        </w:rPr>
      </w:pPr>
      <w:r>
        <w:rPr>
          <w:rFonts w:ascii="黑体" w:eastAsia="黑体" w:hint="eastAsia"/>
          <w:sz w:val="32"/>
          <w:szCs w:val="32"/>
        </w:rPr>
        <w:t>三、支</w:t>
      </w:r>
      <w:r>
        <w:rPr>
          <w:rStyle w:val="2Char"/>
          <w:rFonts w:ascii="黑体" w:eastAsia="黑体" w:hint="eastAsia"/>
          <w:b w:val="0"/>
        </w:rPr>
        <w:t>出决算情况说明</w:t>
      </w:r>
      <w:bookmarkEnd w:id="23"/>
      <w:bookmarkEnd w:id="24"/>
    </w:p>
    <w:p w:rsidR="00FA1047" w:rsidRDefault="00BE0974">
      <w:pPr>
        <w:spacing w:line="600" w:lineRule="exact"/>
        <w:ind w:firstLineChars="200" w:firstLine="640"/>
        <w:outlineLvl w:val="1"/>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年本年支出合计</w:t>
      </w:r>
      <w:r>
        <w:rPr>
          <w:rFonts w:ascii="仿宋" w:eastAsia="仿宋" w:hint="eastAsia"/>
          <w:sz w:val="32"/>
          <w:szCs w:val="32"/>
        </w:rPr>
        <w:t>7258.97</w:t>
      </w:r>
      <w:r>
        <w:rPr>
          <w:rFonts w:ascii="仿宋" w:eastAsia="仿宋" w:hint="eastAsia"/>
          <w:sz w:val="32"/>
          <w:szCs w:val="32"/>
        </w:rPr>
        <w:t>万元，其中：基本支出</w:t>
      </w:r>
      <w:r>
        <w:rPr>
          <w:rFonts w:ascii="仿宋_GB2312" w:eastAsia="仿宋_GB2312" w:hint="eastAsia"/>
          <w:sz w:val="32"/>
          <w:szCs w:val="32"/>
        </w:rPr>
        <w:t>6211.41</w:t>
      </w:r>
      <w:r>
        <w:rPr>
          <w:rFonts w:ascii="仿宋" w:eastAsia="仿宋" w:hint="eastAsia"/>
          <w:sz w:val="32"/>
          <w:szCs w:val="32"/>
        </w:rPr>
        <w:t>万元，占</w:t>
      </w:r>
      <w:r>
        <w:rPr>
          <w:rFonts w:ascii="仿宋" w:eastAsia="仿宋" w:hint="eastAsia"/>
          <w:sz w:val="32"/>
          <w:szCs w:val="32"/>
        </w:rPr>
        <w:t>85.57</w:t>
      </w:r>
      <w:r>
        <w:rPr>
          <w:rFonts w:ascii="仿宋" w:eastAsia="仿宋"/>
          <w:sz w:val="32"/>
          <w:szCs w:val="32"/>
        </w:rPr>
        <w:t>%</w:t>
      </w:r>
      <w:r>
        <w:rPr>
          <w:rFonts w:ascii="仿宋" w:eastAsia="仿宋" w:hint="eastAsia"/>
          <w:sz w:val="32"/>
          <w:szCs w:val="32"/>
        </w:rPr>
        <w:t>；项目支出</w:t>
      </w:r>
      <w:r>
        <w:rPr>
          <w:rFonts w:ascii="仿宋_GB2312" w:eastAsia="仿宋_GB2312" w:hint="eastAsia"/>
          <w:sz w:val="32"/>
          <w:szCs w:val="32"/>
        </w:rPr>
        <w:t>1047.56</w:t>
      </w:r>
      <w:r>
        <w:rPr>
          <w:rFonts w:ascii="仿宋" w:eastAsia="仿宋" w:hint="eastAsia"/>
          <w:sz w:val="32"/>
          <w:szCs w:val="32"/>
        </w:rPr>
        <w:t>万元，占</w:t>
      </w:r>
      <w:r>
        <w:rPr>
          <w:rFonts w:ascii="仿宋" w:eastAsia="仿宋" w:hint="eastAsia"/>
          <w:sz w:val="32"/>
          <w:szCs w:val="32"/>
        </w:rPr>
        <w:t>14.43</w:t>
      </w:r>
      <w:r>
        <w:rPr>
          <w:rFonts w:ascii="仿宋" w:eastAsia="仿宋"/>
          <w:sz w:val="32"/>
          <w:szCs w:val="32"/>
        </w:rPr>
        <w:t>%</w:t>
      </w:r>
      <w:r>
        <w:rPr>
          <w:rFonts w:ascii="仿宋" w:eastAsia="仿宋" w:hint="eastAsia"/>
          <w:sz w:val="32"/>
          <w:szCs w:val="32"/>
        </w:rPr>
        <w:t>。</w:t>
      </w:r>
    </w:p>
    <w:p w:rsidR="00FA1047" w:rsidRDefault="00BE0974">
      <w:pPr>
        <w:spacing w:line="600" w:lineRule="exact"/>
        <w:ind w:firstLine="640"/>
        <w:rPr>
          <w:rFonts w:ascii="仿宋" w:eastAsia="仿宋"/>
          <w:sz w:val="32"/>
          <w:szCs w:val="32"/>
          <w:shd w:val="pct10" w:color="auto" w:fill="FFFFFF"/>
        </w:rPr>
      </w:pPr>
      <w:r>
        <w:rPr>
          <w:rFonts w:ascii="仿宋" w:eastAsia="仿宋" w:hint="eastAsia"/>
          <w:noProof/>
          <w:sz w:val="32"/>
          <w:szCs w:val="32"/>
        </w:rPr>
        <w:drawing>
          <wp:anchor distT="0" distB="0" distL="114300" distR="114300" simplePos="0" relativeHeight="26" behindDoc="0" locked="0" layoutInCell="1" hidden="0" allowOverlap="1">
            <wp:simplePos x="0" y="0"/>
            <wp:positionH relativeFrom="column">
              <wp:posOffset>876300</wp:posOffset>
            </wp:positionH>
            <wp:positionV relativeFrom="page">
              <wp:posOffset>6457950</wp:posOffset>
            </wp:positionV>
            <wp:extent cx="3490595" cy="2105025"/>
            <wp:effectExtent l="0" t="0" r="0" b="0"/>
            <wp:wrapTight wrapText="bothSides">
              <wp:wrapPolygon edited="0">
                <wp:start x="0" y="-1"/>
                <wp:lineTo x="0" y="21598"/>
                <wp:lineTo x="21571" y="21598"/>
                <wp:lineTo x="21571" y="-1"/>
                <wp:lineTo x="0" y="-1"/>
              </wp:wrapPolygon>
            </wp:wrapTight>
            <wp:docPr id="3"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A1047" w:rsidRDefault="00FA1047">
      <w:pPr>
        <w:pStyle w:val="a0"/>
        <w:spacing w:beforeLines="0" w:before="93"/>
      </w:pPr>
    </w:p>
    <w:p w:rsidR="00FA1047" w:rsidRDefault="00FA1047">
      <w:pPr>
        <w:pStyle w:val="a0"/>
        <w:spacing w:beforeLines="0" w:before="93"/>
      </w:pPr>
    </w:p>
    <w:p w:rsidR="00FA1047" w:rsidRDefault="00FA1047">
      <w:pPr>
        <w:pStyle w:val="a0"/>
        <w:spacing w:beforeLines="0" w:before="93"/>
        <w:rPr>
          <w:rFonts w:ascii="仿宋" w:eastAsia="仿宋"/>
          <w:sz w:val="32"/>
          <w:szCs w:val="32"/>
          <w:shd w:val="pct10" w:color="auto" w:fill="FFFFFF"/>
        </w:rPr>
      </w:pPr>
    </w:p>
    <w:p w:rsidR="00FA1047" w:rsidRDefault="00FA1047">
      <w:pPr>
        <w:pStyle w:val="a0"/>
        <w:spacing w:beforeLines="0" w:before="93"/>
        <w:rPr>
          <w:rFonts w:ascii="仿宋" w:eastAsia="仿宋"/>
          <w:sz w:val="32"/>
          <w:szCs w:val="32"/>
          <w:shd w:val="pct10" w:color="auto" w:fill="FFFFFF"/>
        </w:rPr>
      </w:pPr>
    </w:p>
    <w:p w:rsidR="00FA1047" w:rsidRDefault="00FA1047">
      <w:pPr>
        <w:pStyle w:val="a0"/>
        <w:spacing w:beforeLines="0" w:before="93"/>
        <w:rPr>
          <w:rFonts w:ascii="仿宋" w:eastAsia="仿宋"/>
          <w:sz w:val="32"/>
          <w:szCs w:val="32"/>
          <w:shd w:val="pct10" w:color="auto" w:fill="FFFFFF"/>
        </w:rPr>
      </w:pPr>
    </w:p>
    <w:p w:rsidR="00FA1047" w:rsidRDefault="00BE0974">
      <w:pPr>
        <w:spacing w:line="600" w:lineRule="exact"/>
        <w:ind w:firstLineChars="700" w:firstLine="2240"/>
        <w:rPr>
          <w:rFonts w:ascii="仿宋" w:eastAsia="仿宋"/>
          <w:sz w:val="32"/>
          <w:szCs w:val="32"/>
        </w:rPr>
      </w:pPr>
      <w:r>
        <w:rPr>
          <w:rFonts w:ascii="仿宋" w:eastAsia="仿宋" w:hint="eastAsia"/>
          <w:sz w:val="32"/>
          <w:szCs w:val="32"/>
        </w:rPr>
        <w:t>（图</w:t>
      </w:r>
      <w:r>
        <w:rPr>
          <w:rFonts w:ascii="仿宋" w:eastAsia="仿宋" w:hint="eastAsia"/>
          <w:sz w:val="32"/>
          <w:szCs w:val="32"/>
        </w:rPr>
        <w:t>3</w:t>
      </w:r>
      <w:r>
        <w:rPr>
          <w:rFonts w:ascii="仿宋" w:eastAsia="仿宋" w:hint="eastAsia"/>
          <w:sz w:val="32"/>
          <w:szCs w:val="32"/>
        </w:rPr>
        <w:t>：支出决算结构图）</w:t>
      </w:r>
    </w:p>
    <w:p w:rsidR="00FA1047" w:rsidRDefault="00FA1047">
      <w:pPr>
        <w:spacing w:line="600" w:lineRule="exact"/>
        <w:ind w:firstLineChars="200" w:firstLine="640"/>
        <w:rPr>
          <w:rFonts w:ascii="仿宋_GB2312" w:eastAsia="仿宋_GB2312"/>
          <w:sz w:val="32"/>
          <w:szCs w:val="32"/>
        </w:rPr>
      </w:pPr>
    </w:p>
    <w:p w:rsidR="00FA1047" w:rsidRDefault="00BE0974">
      <w:pPr>
        <w:spacing w:line="600" w:lineRule="exact"/>
        <w:ind w:firstLineChars="200" w:firstLine="640"/>
        <w:outlineLvl w:val="1"/>
        <w:rPr>
          <w:rStyle w:val="2Char"/>
          <w:rFonts w:ascii="黑体" w:eastAsia="黑体"/>
          <w:b w:val="0"/>
        </w:rPr>
      </w:pPr>
      <w:bookmarkStart w:id="25" w:name="_Toc15396606"/>
      <w:bookmarkStart w:id="26" w:name="_Toc15377208"/>
      <w:r>
        <w:rPr>
          <w:rFonts w:ascii="黑体" w:eastAsia="黑体" w:hint="eastAsia"/>
          <w:sz w:val="32"/>
          <w:szCs w:val="32"/>
        </w:rPr>
        <w:lastRenderedPageBreak/>
        <w:t>四、财</w:t>
      </w:r>
      <w:r>
        <w:rPr>
          <w:rStyle w:val="2Char"/>
          <w:rFonts w:ascii="黑体" w:eastAsia="黑体" w:hint="eastAsia"/>
          <w:b w:val="0"/>
        </w:rPr>
        <w:t>政拨款收入支出决算总体情况说明</w:t>
      </w:r>
      <w:bookmarkEnd w:id="25"/>
      <w:bookmarkEnd w:id="26"/>
    </w:p>
    <w:p w:rsidR="00FA1047" w:rsidRDefault="00BE0974">
      <w:pPr>
        <w:ind w:firstLineChars="196" w:firstLine="627"/>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年财政拨款总收入为</w:t>
      </w:r>
      <w:r>
        <w:rPr>
          <w:rFonts w:ascii="仿宋" w:eastAsia="仿宋" w:hint="eastAsia"/>
          <w:sz w:val="32"/>
          <w:szCs w:val="32"/>
        </w:rPr>
        <w:t>7258.97</w:t>
      </w:r>
      <w:r>
        <w:rPr>
          <w:rFonts w:ascii="仿宋" w:eastAsia="仿宋" w:hint="eastAsia"/>
          <w:sz w:val="32"/>
          <w:szCs w:val="32"/>
        </w:rPr>
        <w:t>万元。</w:t>
      </w:r>
      <w:r>
        <w:rPr>
          <w:rFonts w:ascii="仿宋" w:eastAsia="仿宋" w:hint="eastAsia"/>
          <w:sz w:val="32"/>
          <w:szCs w:val="32"/>
        </w:rPr>
        <w:t>2021</w:t>
      </w:r>
      <w:r>
        <w:rPr>
          <w:rFonts w:ascii="仿宋" w:eastAsia="仿宋" w:hint="eastAsia"/>
          <w:sz w:val="32"/>
          <w:szCs w:val="32"/>
        </w:rPr>
        <w:t>年财政拨款总收入为</w:t>
      </w:r>
      <w:r>
        <w:rPr>
          <w:rFonts w:ascii="仿宋" w:eastAsia="仿宋" w:hint="eastAsia"/>
          <w:sz w:val="32"/>
          <w:szCs w:val="32"/>
        </w:rPr>
        <w:t>7497.07</w:t>
      </w:r>
      <w:r>
        <w:rPr>
          <w:rFonts w:ascii="仿宋" w:eastAsia="仿宋" w:hint="eastAsia"/>
          <w:sz w:val="32"/>
          <w:szCs w:val="32"/>
        </w:rPr>
        <w:t>万元。与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年相比，财政拨款总收入减少</w:t>
      </w:r>
      <w:r>
        <w:rPr>
          <w:rFonts w:ascii="仿宋" w:eastAsia="仿宋" w:hint="eastAsia"/>
          <w:sz w:val="32"/>
          <w:szCs w:val="32"/>
        </w:rPr>
        <w:t>238.1</w:t>
      </w:r>
      <w:r>
        <w:rPr>
          <w:rFonts w:ascii="仿宋" w:eastAsia="仿宋" w:hint="eastAsia"/>
          <w:sz w:val="32"/>
          <w:szCs w:val="32"/>
        </w:rPr>
        <w:t>万元，下降</w:t>
      </w:r>
      <w:r>
        <w:rPr>
          <w:rFonts w:ascii="仿宋" w:eastAsia="仿宋" w:hint="eastAsia"/>
          <w:sz w:val="32"/>
          <w:szCs w:val="32"/>
        </w:rPr>
        <w:t>3.18</w:t>
      </w:r>
      <w:r>
        <w:rPr>
          <w:rFonts w:ascii="仿宋" w:eastAsia="仿宋"/>
          <w:sz w:val="32"/>
          <w:szCs w:val="32"/>
        </w:rPr>
        <w:t>%</w:t>
      </w:r>
      <w:r>
        <w:rPr>
          <w:rFonts w:ascii="仿宋" w:eastAsia="仿宋" w:hint="eastAsia"/>
          <w:sz w:val="32"/>
          <w:szCs w:val="32"/>
        </w:rPr>
        <w:t>。减少的原因是：</w:t>
      </w:r>
      <w:r>
        <w:rPr>
          <w:rFonts w:ascii="仿宋_GB2312" w:eastAsia="仿宋_GB2312" w:hint="eastAsia"/>
          <w:sz w:val="32"/>
          <w:szCs w:val="32"/>
        </w:rPr>
        <w:t>2022</w:t>
      </w:r>
      <w:r>
        <w:rPr>
          <w:rFonts w:ascii="仿宋_GB2312" w:eastAsia="仿宋_GB2312" w:hint="eastAsia"/>
          <w:sz w:val="32"/>
          <w:szCs w:val="32"/>
        </w:rPr>
        <w:t>年压减了公用经费及项目经费支出；</w:t>
      </w:r>
      <w:r>
        <w:rPr>
          <w:rFonts w:ascii="仿宋_GB2312" w:eastAsia="仿宋_GB2312" w:hint="eastAsia"/>
          <w:sz w:val="32"/>
          <w:szCs w:val="32"/>
        </w:rPr>
        <w:t>2022</w:t>
      </w:r>
      <w:r>
        <w:rPr>
          <w:rFonts w:ascii="仿宋_GB2312" w:eastAsia="仿宋_GB2312" w:hint="eastAsia"/>
          <w:sz w:val="32"/>
          <w:szCs w:val="32"/>
        </w:rPr>
        <w:t>年未安排政府性基金预算财政拨款收入。</w:t>
      </w:r>
      <w:r>
        <w:rPr>
          <w:rFonts w:ascii="仿宋" w:eastAsia="仿宋" w:hint="eastAsia"/>
          <w:sz w:val="32"/>
          <w:szCs w:val="32"/>
        </w:rPr>
        <w:t>2022</w:t>
      </w:r>
      <w:r>
        <w:rPr>
          <w:rFonts w:ascii="仿宋" w:eastAsia="仿宋" w:hint="eastAsia"/>
          <w:sz w:val="32"/>
          <w:szCs w:val="32"/>
        </w:rPr>
        <w:t>年总支出为</w:t>
      </w:r>
      <w:r>
        <w:rPr>
          <w:rFonts w:ascii="仿宋" w:eastAsia="仿宋" w:hint="eastAsia"/>
          <w:sz w:val="32"/>
          <w:szCs w:val="32"/>
        </w:rPr>
        <w:t>7258.97</w:t>
      </w:r>
      <w:r>
        <w:rPr>
          <w:rFonts w:ascii="仿宋" w:eastAsia="仿宋" w:hint="eastAsia"/>
          <w:sz w:val="32"/>
          <w:szCs w:val="32"/>
        </w:rPr>
        <w:t>万元，</w:t>
      </w:r>
      <w:r>
        <w:rPr>
          <w:rFonts w:ascii="仿宋" w:eastAsia="仿宋" w:hint="eastAsia"/>
          <w:sz w:val="32"/>
          <w:szCs w:val="32"/>
        </w:rPr>
        <w:t>2021</w:t>
      </w:r>
      <w:r>
        <w:rPr>
          <w:rFonts w:ascii="仿宋" w:eastAsia="仿宋" w:hint="eastAsia"/>
          <w:sz w:val="32"/>
          <w:szCs w:val="32"/>
        </w:rPr>
        <w:t>年总支出为</w:t>
      </w:r>
      <w:r>
        <w:rPr>
          <w:rFonts w:ascii="仿宋" w:eastAsia="仿宋" w:hint="eastAsia"/>
          <w:sz w:val="32"/>
          <w:szCs w:val="32"/>
        </w:rPr>
        <w:t>7497.07</w:t>
      </w:r>
      <w:r>
        <w:rPr>
          <w:rFonts w:ascii="仿宋" w:eastAsia="仿宋" w:hint="eastAsia"/>
          <w:sz w:val="32"/>
          <w:szCs w:val="32"/>
        </w:rPr>
        <w:t>万元，与</w:t>
      </w:r>
      <w:r>
        <w:rPr>
          <w:rFonts w:ascii="仿宋" w:eastAsia="仿宋" w:hint="eastAsia"/>
          <w:sz w:val="32"/>
          <w:szCs w:val="32"/>
        </w:rPr>
        <w:t>2021</w:t>
      </w:r>
      <w:r>
        <w:rPr>
          <w:rFonts w:ascii="仿宋" w:eastAsia="仿宋" w:hint="eastAsia"/>
          <w:sz w:val="32"/>
          <w:szCs w:val="32"/>
        </w:rPr>
        <w:t>年相比，财政拨款总支出减少</w:t>
      </w:r>
      <w:r>
        <w:rPr>
          <w:rFonts w:ascii="仿宋" w:eastAsia="仿宋" w:hint="eastAsia"/>
          <w:sz w:val="32"/>
          <w:szCs w:val="32"/>
        </w:rPr>
        <w:t>238.1</w:t>
      </w:r>
      <w:r>
        <w:rPr>
          <w:rFonts w:ascii="仿宋" w:eastAsia="仿宋" w:hint="eastAsia"/>
          <w:sz w:val="32"/>
          <w:szCs w:val="32"/>
        </w:rPr>
        <w:t>万元，下降</w:t>
      </w:r>
      <w:r>
        <w:rPr>
          <w:rFonts w:ascii="仿宋" w:eastAsia="仿宋" w:hint="eastAsia"/>
          <w:sz w:val="32"/>
          <w:szCs w:val="32"/>
        </w:rPr>
        <w:t>3.18</w:t>
      </w:r>
      <w:r>
        <w:rPr>
          <w:rFonts w:ascii="仿宋" w:eastAsia="仿宋"/>
          <w:sz w:val="32"/>
          <w:szCs w:val="32"/>
        </w:rPr>
        <w:t>%</w:t>
      </w:r>
      <w:r>
        <w:rPr>
          <w:rFonts w:ascii="仿宋" w:eastAsia="仿宋" w:hint="eastAsia"/>
          <w:sz w:val="32"/>
          <w:szCs w:val="32"/>
        </w:rPr>
        <w:t>。减少的原因是：</w:t>
      </w:r>
      <w:r>
        <w:rPr>
          <w:rFonts w:ascii="仿宋_GB2312" w:eastAsia="仿宋_GB2312" w:hint="eastAsia"/>
          <w:sz w:val="32"/>
          <w:szCs w:val="32"/>
        </w:rPr>
        <w:t>2022</w:t>
      </w:r>
      <w:r>
        <w:rPr>
          <w:rFonts w:ascii="仿宋_GB2312" w:eastAsia="仿宋_GB2312" w:hint="eastAsia"/>
          <w:sz w:val="32"/>
          <w:szCs w:val="32"/>
        </w:rPr>
        <w:t>年压减了公用经费及项目经费支出。</w:t>
      </w:r>
      <w:r>
        <w:rPr>
          <w:rFonts w:ascii="仿宋_GB2312" w:eastAsia="仿宋_GB2312" w:hint="eastAsia"/>
          <w:sz w:val="32"/>
          <w:szCs w:val="32"/>
        </w:rPr>
        <w:t xml:space="preserve"> </w:t>
      </w:r>
    </w:p>
    <w:p w:rsidR="00FA1047" w:rsidRDefault="00BE0974">
      <w:pPr>
        <w:pStyle w:val="a0"/>
        <w:spacing w:beforeLines="0" w:before="93"/>
        <w:jc w:val="center"/>
        <w:rPr>
          <w:rFonts w:ascii="仿宋" w:eastAsia="仿宋"/>
          <w:sz w:val="32"/>
          <w:szCs w:val="32"/>
        </w:rPr>
      </w:pPr>
      <w:r>
        <w:rPr>
          <w:rFonts w:ascii="仿宋" w:eastAsia="仿宋"/>
          <w:noProof/>
          <w:sz w:val="32"/>
          <w:szCs w:val="32"/>
        </w:rPr>
        <w:drawing>
          <wp:inline distT="0" distB="0" distL="0" distR="0">
            <wp:extent cx="4598035" cy="2600960"/>
            <wp:effectExtent l="0" t="0" r="0" b="0"/>
            <wp:docPr id="4" name="图表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1047" w:rsidRDefault="00BE0974">
      <w:pPr>
        <w:pStyle w:val="a0"/>
        <w:spacing w:beforeLines="0" w:before="93"/>
        <w:rPr>
          <w:rFonts w:ascii="仿宋" w:eastAsia="仿宋"/>
          <w:sz w:val="32"/>
          <w:szCs w:val="32"/>
        </w:rPr>
      </w:pPr>
      <w:r>
        <w:rPr>
          <w:rFonts w:ascii="仿宋" w:eastAsia="仿宋" w:hint="eastAsia"/>
          <w:sz w:val="32"/>
          <w:szCs w:val="32"/>
        </w:rPr>
        <w:t xml:space="preserve">  </w:t>
      </w:r>
      <w:r>
        <w:rPr>
          <w:rFonts w:ascii="仿宋" w:eastAsia="仿宋" w:hint="eastAsia"/>
          <w:sz w:val="32"/>
          <w:szCs w:val="32"/>
        </w:rPr>
        <w:t xml:space="preserve">     </w:t>
      </w:r>
      <w:r>
        <w:rPr>
          <w:rFonts w:ascii="仿宋" w:eastAsia="仿宋" w:hint="eastAsia"/>
          <w:sz w:val="32"/>
          <w:szCs w:val="32"/>
        </w:rPr>
        <w:t>（图</w:t>
      </w:r>
      <w:r>
        <w:rPr>
          <w:rFonts w:ascii="仿宋" w:eastAsia="仿宋" w:hint="eastAsia"/>
          <w:sz w:val="32"/>
          <w:szCs w:val="32"/>
        </w:rPr>
        <w:t>4</w:t>
      </w:r>
      <w:r>
        <w:rPr>
          <w:rFonts w:ascii="仿宋" w:eastAsia="仿宋" w:hint="eastAsia"/>
          <w:sz w:val="32"/>
          <w:szCs w:val="32"/>
        </w:rPr>
        <w:t>：财政拨款收、支决算总计变动情况）</w:t>
      </w:r>
    </w:p>
    <w:p w:rsidR="00FA1047" w:rsidRDefault="00BE0974">
      <w:pPr>
        <w:spacing w:line="600" w:lineRule="exact"/>
        <w:ind w:firstLineChars="200" w:firstLine="640"/>
        <w:outlineLvl w:val="1"/>
        <w:rPr>
          <w:rStyle w:val="2Char"/>
          <w:rFonts w:ascii="黑体" w:eastAsia="黑体"/>
          <w:b w:val="0"/>
        </w:rPr>
      </w:pPr>
      <w:bookmarkStart w:id="27" w:name="_Toc15377209"/>
      <w:bookmarkStart w:id="28" w:name="_Toc15396607"/>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7"/>
      <w:bookmarkEnd w:id="28"/>
    </w:p>
    <w:p w:rsidR="00FA1047" w:rsidRDefault="00BE0974" w:rsidP="00DD251B">
      <w:pPr>
        <w:spacing w:line="600" w:lineRule="exact"/>
        <w:ind w:firstLineChars="200" w:firstLine="643"/>
        <w:outlineLvl w:val="2"/>
        <w:rPr>
          <w:rFonts w:ascii="仿宋" w:eastAsia="仿宋"/>
          <w:b/>
          <w:sz w:val="32"/>
          <w:szCs w:val="32"/>
        </w:rPr>
      </w:pPr>
      <w:bookmarkStart w:id="29" w:name="_Toc15377210"/>
      <w:r>
        <w:rPr>
          <w:rFonts w:ascii="仿宋" w:eastAsia="仿宋" w:hint="eastAsia"/>
          <w:b/>
          <w:sz w:val="32"/>
          <w:szCs w:val="32"/>
        </w:rPr>
        <w:t>（一）一般公共预算财政拨款支出决算总体情况</w:t>
      </w:r>
      <w:bookmarkEnd w:id="29"/>
    </w:p>
    <w:p w:rsidR="00FA1047" w:rsidRDefault="00BE0974">
      <w:pPr>
        <w:ind w:firstLineChars="196" w:firstLine="627"/>
        <w:rPr>
          <w:rFonts w:ascii="仿宋_GB2312" w:eastAsia="仿宋_GB2312"/>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hint="eastAsia"/>
          <w:sz w:val="32"/>
          <w:szCs w:val="32"/>
        </w:rPr>
        <w:t>7258.97</w:t>
      </w:r>
      <w:r>
        <w:rPr>
          <w:rFonts w:ascii="仿宋" w:eastAsia="仿宋" w:hint="eastAsia"/>
          <w:sz w:val="32"/>
          <w:szCs w:val="32"/>
        </w:rPr>
        <w:t>万元，占本年支出合计的</w:t>
      </w:r>
      <w:r>
        <w:rPr>
          <w:rFonts w:ascii="仿宋" w:eastAsia="仿宋" w:hint="eastAsia"/>
          <w:sz w:val="32"/>
          <w:szCs w:val="32"/>
        </w:rPr>
        <w:t>100</w:t>
      </w:r>
      <w:r>
        <w:rPr>
          <w:rFonts w:ascii="仿宋" w:eastAsia="仿宋"/>
          <w:sz w:val="32"/>
          <w:szCs w:val="32"/>
        </w:rPr>
        <w:t>%</w:t>
      </w:r>
      <w:r>
        <w:rPr>
          <w:rFonts w:ascii="仿宋" w:eastAsia="仿宋" w:hint="eastAsia"/>
          <w:sz w:val="32"/>
          <w:szCs w:val="32"/>
        </w:rPr>
        <w:t>。与</w:t>
      </w:r>
      <w:r>
        <w:rPr>
          <w:rFonts w:ascii="仿宋" w:eastAsia="仿宋"/>
          <w:sz w:val="32"/>
          <w:szCs w:val="32"/>
        </w:rPr>
        <w:t>20</w:t>
      </w:r>
      <w:r>
        <w:rPr>
          <w:rFonts w:ascii="仿宋" w:eastAsia="仿宋" w:hint="eastAsia"/>
          <w:sz w:val="32"/>
          <w:szCs w:val="32"/>
        </w:rPr>
        <w:t>21</w:t>
      </w:r>
      <w:r>
        <w:rPr>
          <w:rFonts w:ascii="仿宋" w:eastAsia="仿宋" w:hint="eastAsia"/>
          <w:sz w:val="32"/>
          <w:szCs w:val="32"/>
        </w:rPr>
        <w:t>年相比，一般公共预算财政拨款支出增加</w:t>
      </w:r>
      <w:r>
        <w:rPr>
          <w:rFonts w:ascii="仿宋" w:eastAsia="仿宋" w:hint="eastAsia"/>
          <w:sz w:val="32"/>
          <w:szCs w:val="32"/>
        </w:rPr>
        <w:t>153.39</w:t>
      </w:r>
      <w:r>
        <w:rPr>
          <w:rFonts w:ascii="仿宋" w:eastAsia="仿宋" w:hint="eastAsia"/>
          <w:sz w:val="32"/>
          <w:szCs w:val="32"/>
        </w:rPr>
        <w:t>万元，增长</w:t>
      </w:r>
      <w:r>
        <w:rPr>
          <w:rFonts w:ascii="仿宋" w:eastAsia="仿宋" w:hint="eastAsia"/>
          <w:sz w:val="32"/>
          <w:szCs w:val="32"/>
        </w:rPr>
        <w:t>2.16</w:t>
      </w:r>
      <w:r>
        <w:rPr>
          <w:rFonts w:ascii="仿宋" w:eastAsia="仿宋"/>
          <w:sz w:val="32"/>
          <w:szCs w:val="32"/>
        </w:rPr>
        <w:t>%</w:t>
      </w:r>
      <w:r>
        <w:rPr>
          <w:rFonts w:ascii="仿宋" w:eastAsia="仿宋" w:hint="eastAsia"/>
          <w:sz w:val="32"/>
          <w:szCs w:val="32"/>
        </w:rPr>
        <w:t>。增加</w:t>
      </w:r>
      <w:r>
        <w:rPr>
          <w:rFonts w:ascii="仿宋" w:eastAsia="仿宋" w:hint="eastAsia"/>
          <w:sz w:val="32"/>
          <w:szCs w:val="32"/>
        </w:rPr>
        <w:t>的原因是：</w:t>
      </w:r>
      <w:r>
        <w:rPr>
          <w:rFonts w:ascii="仿宋_GB2312" w:eastAsia="仿宋_GB2312" w:hint="eastAsia"/>
          <w:sz w:val="32"/>
          <w:szCs w:val="32"/>
        </w:rPr>
        <w:t>2022</w:t>
      </w:r>
      <w:r>
        <w:rPr>
          <w:rFonts w:ascii="仿宋_GB2312" w:eastAsia="仿宋_GB2312" w:hint="eastAsia"/>
          <w:sz w:val="32"/>
          <w:szCs w:val="32"/>
        </w:rPr>
        <w:lastRenderedPageBreak/>
        <w:t>年增加了人员经费的基础绩效。</w:t>
      </w:r>
      <w:r>
        <w:rPr>
          <w:rFonts w:ascii="仿宋_GB2312" w:eastAsia="仿宋_GB2312" w:hint="eastAsia"/>
          <w:sz w:val="32"/>
          <w:szCs w:val="32"/>
        </w:rPr>
        <w:t xml:space="preserve"> </w:t>
      </w:r>
    </w:p>
    <w:p w:rsidR="00FA1047" w:rsidRDefault="00BE0974">
      <w:pPr>
        <w:spacing w:line="600" w:lineRule="exact"/>
        <w:rPr>
          <w:rFonts w:ascii="仿宋" w:eastAsia="仿宋"/>
          <w:sz w:val="32"/>
          <w:szCs w:val="32"/>
        </w:rPr>
      </w:pPr>
      <w:r>
        <w:rPr>
          <w:rFonts w:ascii="仿宋" w:eastAsia="仿宋" w:hint="eastAsia"/>
          <w:sz w:val="32"/>
          <w:szCs w:val="32"/>
        </w:rPr>
        <w:t xml:space="preserve">      </w:t>
      </w:r>
    </w:p>
    <w:p w:rsidR="00FA1047" w:rsidRDefault="00BE0974">
      <w:pPr>
        <w:jc w:val="center"/>
        <w:rPr>
          <w:rFonts w:ascii="仿宋" w:eastAsia="仿宋"/>
          <w:sz w:val="32"/>
          <w:szCs w:val="32"/>
        </w:rPr>
      </w:pPr>
      <w:r>
        <w:rPr>
          <w:rFonts w:ascii="仿宋" w:eastAsia="仿宋"/>
          <w:noProof/>
          <w:sz w:val="32"/>
          <w:szCs w:val="32"/>
        </w:rPr>
        <w:drawing>
          <wp:inline distT="0" distB="0" distL="0" distR="0">
            <wp:extent cx="4824730" cy="2466975"/>
            <wp:effectExtent l="0" t="0" r="0" b="0"/>
            <wp:docPr id="5" name="图表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1047" w:rsidRDefault="00BE0974">
      <w:pPr>
        <w:jc w:val="center"/>
        <w:rPr>
          <w:rFonts w:ascii="仿宋" w:eastAsia="仿宋"/>
          <w:sz w:val="32"/>
          <w:szCs w:val="32"/>
        </w:rPr>
      </w:pPr>
      <w:r>
        <w:rPr>
          <w:rFonts w:ascii="仿宋" w:eastAsia="仿宋" w:hint="eastAsia"/>
          <w:sz w:val="32"/>
          <w:szCs w:val="32"/>
        </w:rPr>
        <w:t>（图</w:t>
      </w:r>
      <w:r>
        <w:rPr>
          <w:rFonts w:ascii="仿宋" w:eastAsia="仿宋" w:hint="eastAsia"/>
          <w:sz w:val="32"/>
          <w:szCs w:val="32"/>
        </w:rPr>
        <w:t>5</w:t>
      </w:r>
      <w:r>
        <w:rPr>
          <w:rFonts w:ascii="仿宋" w:eastAsia="仿宋" w:hint="eastAsia"/>
          <w:sz w:val="32"/>
          <w:szCs w:val="32"/>
        </w:rPr>
        <w:t>：一般公共预算财政拨款支出决算变动情况）</w:t>
      </w:r>
      <w:r>
        <w:rPr>
          <w:rFonts w:ascii="仿宋" w:eastAsia="仿宋" w:hint="eastAsia"/>
          <w:sz w:val="32"/>
          <w:szCs w:val="32"/>
        </w:rPr>
        <w:t xml:space="preserve">      </w:t>
      </w:r>
      <w:bookmarkStart w:id="30" w:name="_Toc15377211"/>
    </w:p>
    <w:p w:rsidR="00FA1047" w:rsidRDefault="00BE0974" w:rsidP="00DD251B">
      <w:pPr>
        <w:pStyle w:val="a0"/>
        <w:spacing w:beforeLines="0" w:before="93"/>
        <w:ind w:firstLineChars="100" w:firstLine="321"/>
        <w:rPr>
          <w:rFonts w:ascii="仿宋" w:eastAsia="仿宋"/>
          <w:b/>
          <w:sz w:val="32"/>
          <w:szCs w:val="32"/>
        </w:rPr>
      </w:pPr>
      <w:r>
        <w:rPr>
          <w:rFonts w:ascii="仿宋" w:eastAsia="仿宋" w:hint="eastAsia"/>
          <w:b/>
          <w:sz w:val="32"/>
          <w:szCs w:val="32"/>
        </w:rPr>
        <w:t>（二）一般公共预算财政拨款支出决算结构情况</w:t>
      </w:r>
      <w:bookmarkEnd w:id="30"/>
    </w:p>
    <w:p w:rsidR="00FA1047" w:rsidRDefault="00BE0974">
      <w:pPr>
        <w:spacing w:line="600" w:lineRule="exact"/>
        <w:ind w:firstLineChars="200"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年一般公共预算财政拨款支出</w:t>
      </w:r>
      <w:r>
        <w:rPr>
          <w:rFonts w:ascii="仿宋" w:eastAsia="仿宋" w:hint="eastAsia"/>
          <w:sz w:val="32"/>
          <w:szCs w:val="32"/>
        </w:rPr>
        <w:t>7258.97</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一般公共服务</w:t>
      </w:r>
      <w:r>
        <w:rPr>
          <w:rFonts w:ascii="仿宋" w:eastAsia="仿宋" w:hint="eastAsia"/>
          <w:b/>
          <w:bCs/>
          <w:sz w:val="32"/>
          <w:szCs w:val="32"/>
        </w:rPr>
        <w:t>支出</w:t>
      </w:r>
      <w:r>
        <w:rPr>
          <w:rFonts w:ascii="仿宋" w:eastAsia="仿宋" w:hint="eastAsia"/>
          <w:b/>
          <w:bCs/>
          <w:sz w:val="32"/>
          <w:szCs w:val="32"/>
        </w:rPr>
        <w:t>75.81</w:t>
      </w:r>
      <w:r>
        <w:rPr>
          <w:rFonts w:ascii="仿宋" w:eastAsia="仿宋" w:hint="eastAsia"/>
          <w:sz w:val="32"/>
          <w:szCs w:val="32"/>
        </w:rPr>
        <w:t>万元，占</w:t>
      </w:r>
      <w:r>
        <w:rPr>
          <w:rFonts w:ascii="仿宋" w:eastAsia="仿宋" w:hint="eastAsia"/>
          <w:sz w:val="32"/>
          <w:szCs w:val="32"/>
        </w:rPr>
        <w:t>1.04</w:t>
      </w:r>
      <w:r>
        <w:rPr>
          <w:rFonts w:ascii="仿宋" w:eastAsia="仿宋"/>
          <w:sz w:val="32"/>
          <w:szCs w:val="32"/>
        </w:rPr>
        <w:t>%</w:t>
      </w:r>
      <w:r>
        <w:rPr>
          <w:rFonts w:ascii="仿宋" w:eastAsia="仿宋" w:hint="eastAsia"/>
          <w:sz w:val="32"/>
          <w:szCs w:val="32"/>
        </w:rPr>
        <w:t>；</w:t>
      </w:r>
      <w:r>
        <w:rPr>
          <w:rFonts w:ascii="仿宋" w:eastAsia="仿宋" w:hint="eastAsia"/>
          <w:b/>
          <w:sz w:val="32"/>
          <w:szCs w:val="32"/>
        </w:rPr>
        <w:t>社会保障和就业</w:t>
      </w:r>
      <w:r>
        <w:rPr>
          <w:rFonts w:ascii="仿宋" w:eastAsia="仿宋" w:hint="eastAsia"/>
          <w:b/>
          <w:bCs/>
          <w:sz w:val="32"/>
          <w:szCs w:val="32"/>
        </w:rPr>
        <w:t>支出</w:t>
      </w:r>
      <w:r>
        <w:rPr>
          <w:rFonts w:ascii="仿宋" w:eastAsia="仿宋" w:hint="eastAsia"/>
          <w:sz w:val="32"/>
          <w:szCs w:val="32"/>
        </w:rPr>
        <w:t>1966.88</w:t>
      </w:r>
      <w:r>
        <w:rPr>
          <w:rFonts w:ascii="仿宋" w:eastAsia="仿宋" w:hint="eastAsia"/>
          <w:sz w:val="32"/>
          <w:szCs w:val="32"/>
        </w:rPr>
        <w:t>万元，占</w:t>
      </w:r>
      <w:r>
        <w:rPr>
          <w:rFonts w:ascii="仿宋" w:eastAsia="仿宋" w:hint="eastAsia"/>
          <w:sz w:val="32"/>
          <w:szCs w:val="32"/>
        </w:rPr>
        <w:t>27.1</w:t>
      </w:r>
      <w:r>
        <w:rPr>
          <w:rFonts w:ascii="仿宋" w:eastAsia="仿宋"/>
          <w:sz w:val="32"/>
          <w:szCs w:val="32"/>
        </w:rPr>
        <w:t>%</w:t>
      </w:r>
      <w:r>
        <w:rPr>
          <w:rFonts w:ascii="仿宋" w:eastAsia="仿宋" w:hint="eastAsia"/>
          <w:sz w:val="32"/>
          <w:szCs w:val="32"/>
        </w:rPr>
        <w:t>；</w:t>
      </w:r>
      <w:r>
        <w:rPr>
          <w:rFonts w:ascii="仿宋" w:eastAsia="仿宋" w:hint="eastAsia"/>
          <w:b/>
          <w:bCs/>
          <w:sz w:val="32"/>
          <w:szCs w:val="32"/>
        </w:rPr>
        <w:t>住房保障支出</w:t>
      </w:r>
      <w:r>
        <w:rPr>
          <w:rFonts w:ascii="仿宋" w:eastAsia="仿宋" w:hint="eastAsia"/>
          <w:sz w:val="32"/>
          <w:szCs w:val="32"/>
        </w:rPr>
        <w:t>380.88</w:t>
      </w:r>
      <w:r>
        <w:rPr>
          <w:rFonts w:ascii="仿宋" w:eastAsia="仿宋" w:hint="eastAsia"/>
          <w:sz w:val="32"/>
          <w:szCs w:val="32"/>
        </w:rPr>
        <w:t>万元，占</w:t>
      </w:r>
      <w:r>
        <w:rPr>
          <w:rFonts w:ascii="仿宋" w:eastAsia="仿宋" w:hint="eastAsia"/>
          <w:sz w:val="32"/>
          <w:szCs w:val="32"/>
        </w:rPr>
        <w:t>5.25</w:t>
      </w:r>
      <w:r>
        <w:rPr>
          <w:rFonts w:ascii="仿宋" w:eastAsia="仿宋"/>
          <w:sz w:val="32"/>
          <w:szCs w:val="32"/>
        </w:rPr>
        <w:t>%</w:t>
      </w:r>
      <w:r>
        <w:rPr>
          <w:rFonts w:ascii="仿宋" w:eastAsia="仿宋" w:hint="eastAsia"/>
          <w:sz w:val="32"/>
          <w:szCs w:val="32"/>
        </w:rPr>
        <w:t>;</w:t>
      </w:r>
      <w:r>
        <w:rPr>
          <w:rFonts w:ascii="仿宋" w:eastAsia="仿宋" w:hint="eastAsia"/>
          <w:sz w:val="32"/>
          <w:szCs w:val="32"/>
        </w:rPr>
        <w:t>城乡社区支出</w:t>
      </w:r>
      <w:r>
        <w:rPr>
          <w:rFonts w:ascii="仿宋" w:eastAsia="仿宋" w:hint="eastAsia"/>
          <w:sz w:val="32"/>
          <w:szCs w:val="32"/>
        </w:rPr>
        <w:t>4835.41</w:t>
      </w:r>
      <w:r>
        <w:rPr>
          <w:rFonts w:ascii="仿宋" w:eastAsia="仿宋" w:hint="eastAsia"/>
          <w:sz w:val="32"/>
          <w:szCs w:val="32"/>
        </w:rPr>
        <w:t>万元，</w:t>
      </w:r>
      <w:r>
        <w:rPr>
          <w:rFonts w:ascii="仿宋" w:eastAsia="仿宋" w:hint="eastAsia"/>
          <w:sz w:val="32"/>
          <w:szCs w:val="32"/>
        </w:rPr>
        <w:t>66.61%</w:t>
      </w:r>
      <w:r>
        <w:rPr>
          <w:rFonts w:ascii="仿宋" w:eastAsia="仿宋" w:hint="eastAsia"/>
          <w:sz w:val="32"/>
          <w:szCs w:val="32"/>
        </w:rPr>
        <w:t>。</w:t>
      </w:r>
    </w:p>
    <w:p w:rsidR="00FA1047" w:rsidRDefault="00FA1047">
      <w:pPr>
        <w:pStyle w:val="a0"/>
        <w:spacing w:beforeLines="0" w:before="93"/>
      </w:pPr>
    </w:p>
    <w:p w:rsidR="00FA1047" w:rsidRDefault="00FA1047">
      <w:pPr>
        <w:pStyle w:val="a0"/>
        <w:spacing w:beforeLines="0" w:before="93"/>
      </w:pPr>
    </w:p>
    <w:p w:rsidR="00FA1047" w:rsidRDefault="00FA1047">
      <w:pPr>
        <w:pStyle w:val="a0"/>
        <w:spacing w:beforeLines="0" w:before="93"/>
      </w:pPr>
    </w:p>
    <w:p w:rsidR="00FA1047" w:rsidRDefault="00FA1047">
      <w:pPr>
        <w:pStyle w:val="a0"/>
        <w:spacing w:beforeLines="0" w:before="93"/>
      </w:pPr>
    </w:p>
    <w:p w:rsidR="00FA1047" w:rsidRDefault="00FA1047">
      <w:pPr>
        <w:pStyle w:val="a0"/>
        <w:spacing w:beforeLines="0" w:before="93"/>
      </w:pPr>
    </w:p>
    <w:p w:rsidR="00FA1047" w:rsidRDefault="00BE0974">
      <w:pPr>
        <w:spacing w:line="600" w:lineRule="exact"/>
        <w:ind w:firstLine="640"/>
        <w:jc w:val="center"/>
        <w:rPr>
          <w:rFonts w:ascii="仿宋" w:eastAsia="仿宋"/>
          <w:sz w:val="32"/>
          <w:szCs w:val="32"/>
        </w:rPr>
      </w:pPr>
      <w:r>
        <w:rPr>
          <w:rFonts w:ascii="仿宋" w:eastAsia="仿宋" w:hint="eastAsia"/>
          <w:noProof/>
          <w:sz w:val="32"/>
          <w:szCs w:val="32"/>
        </w:rPr>
        <w:lastRenderedPageBreak/>
        <w:drawing>
          <wp:anchor distT="0" distB="0" distL="114300" distR="114300" simplePos="0" relativeHeight="30" behindDoc="0" locked="0" layoutInCell="1" hidden="0" allowOverlap="1">
            <wp:simplePos x="0" y="0"/>
            <wp:positionH relativeFrom="column">
              <wp:posOffset>-28575</wp:posOffset>
            </wp:positionH>
            <wp:positionV relativeFrom="paragraph">
              <wp:posOffset>285750</wp:posOffset>
            </wp:positionV>
            <wp:extent cx="5251450" cy="2381250"/>
            <wp:effectExtent l="0" t="0" r="0" b="0"/>
            <wp:wrapTopAndBottom/>
            <wp:docPr id="6" name="图表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A1047" w:rsidRDefault="00BE0974">
      <w:pPr>
        <w:spacing w:line="600" w:lineRule="exact"/>
        <w:ind w:firstLineChars="200" w:firstLine="640"/>
        <w:rPr>
          <w:rFonts w:ascii="仿宋" w:eastAsia="仿宋"/>
          <w:sz w:val="32"/>
          <w:szCs w:val="32"/>
        </w:rPr>
      </w:pPr>
      <w:r>
        <w:rPr>
          <w:rFonts w:ascii="仿宋" w:eastAsia="仿宋" w:hint="eastAsia"/>
          <w:sz w:val="32"/>
          <w:szCs w:val="32"/>
        </w:rPr>
        <w:t>（图</w:t>
      </w:r>
      <w:r>
        <w:rPr>
          <w:rFonts w:ascii="仿宋" w:eastAsia="仿宋" w:hint="eastAsia"/>
          <w:sz w:val="32"/>
          <w:szCs w:val="32"/>
        </w:rPr>
        <w:t>6</w:t>
      </w:r>
      <w:r>
        <w:rPr>
          <w:rFonts w:ascii="仿宋" w:eastAsia="仿宋" w:hint="eastAsia"/>
          <w:sz w:val="32"/>
          <w:szCs w:val="32"/>
        </w:rPr>
        <w:t>：一般公共预算财政拨款支出决算结构）</w:t>
      </w:r>
    </w:p>
    <w:p w:rsidR="00FA1047" w:rsidRDefault="00BE0974" w:rsidP="00DD251B">
      <w:pPr>
        <w:spacing w:line="600" w:lineRule="exact"/>
        <w:ind w:firstLineChars="100" w:firstLine="321"/>
        <w:outlineLvl w:val="2"/>
        <w:rPr>
          <w:rFonts w:ascii="仿宋" w:eastAsia="仿宋"/>
          <w:b/>
          <w:sz w:val="32"/>
          <w:szCs w:val="32"/>
        </w:rPr>
      </w:pPr>
      <w:bookmarkStart w:id="31" w:name="_Toc15377212"/>
      <w:r>
        <w:rPr>
          <w:rFonts w:ascii="仿宋" w:eastAsia="仿宋" w:hint="eastAsia"/>
          <w:b/>
          <w:sz w:val="32"/>
          <w:szCs w:val="32"/>
        </w:rPr>
        <w:t>（三）一般公共预算财政拨款支出决算具体情况</w:t>
      </w:r>
      <w:bookmarkEnd w:id="31"/>
    </w:p>
    <w:p w:rsidR="00FA1047" w:rsidRDefault="00BE0974" w:rsidP="00DD251B">
      <w:pPr>
        <w:spacing w:line="600" w:lineRule="exact"/>
        <w:ind w:firstLineChars="200" w:firstLine="643"/>
        <w:outlineLvl w:val="2"/>
        <w:rPr>
          <w:rFonts w:ascii="仿宋" w:eastAsia="仿宋"/>
          <w:sz w:val="32"/>
          <w:szCs w:val="32"/>
        </w:rPr>
      </w:pPr>
      <w:bookmarkStart w:id="32" w:name="_Toc15378460"/>
      <w:bookmarkStart w:id="33" w:name="_Toc15377213"/>
      <w:bookmarkStart w:id="34" w:name="_Toc15377444"/>
      <w:r>
        <w:rPr>
          <w:rFonts w:ascii="仿宋" w:eastAsia="仿宋" w:hint="eastAsia"/>
          <w:b/>
          <w:sz w:val="32"/>
          <w:szCs w:val="32"/>
        </w:rPr>
        <w:t>2022</w:t>
      </w:r>
      <w:r>
        <w:rPr>
          <w:rFonts w:ascii="仿宋" w:eastAsia="仿宋" w:hint="eastAsia"/>
          <w:b/>
          <w:sz w:val="32"/>
          <w:szCs w:val="32"/>
        </w:rPr>
        <w:t>年一般公共预算支出决算数为</w:t>
      </w:r>
      <w:r>
        <w:rPr>
          <w:rFonts w:ascii="仿宋" w:eastAsia="仿宋" w:hint="eastAsia"/>
          <w:sz w:val="32"/>
          <w:szCs w:val="32"/>
        </w:rPr>
        <w:t>7258.97</w:t>
      </w:r>
      <w:r>
        <w:rPr>
          <w:rFonts w:ascii="仿宋" w:eastAsia="仿宋" w:hint="eastAsia"/>
          <w:sz w:val="32"/>
          <w:szCs w:val="32"/>
        </w:rPr>
        <w:t>，</w:t>
      </w:r>
      <w:r>
        <w:rPr>
          <w:rStyle w:val="a7"/>
          <w:rFonts w:ascii="仿宋" w:eastAsia="仿宋" w:hint="eastAsia"/>
          <w:bCs/>
          <w:sz w:val="32"/>
          <w:szCs w:val="32"/>
        </w:rPr>
        <w:t>完成预算</w:t>
      </w:r>
      <w:r>
        <w:rPr>
          <w:rStyle w:val="a7"/>
          <w:rFonts w:ascii="仿宋" w:eastAsia="仿宋" w:hint="eastAsia"/>
          <w:bCs/>
          <w:sz w:val="32"/>
          <w:szCs w:val="32"/>
        </w:rPr>
        <w:t>100</w:t>
      </w:r>
      <w:r>
        <w:rPr>
          <w:rStyle w:val="a7"/>
          <w:rFonts w:ascii="仿宋" w:eastAsia="仿宋"/>
          <w:bCs/>
          <w:sz w:val="32"/>
          <w:szCs w:val="32"/>
        </w:rPr>
        <w:t>%</w:t>
      </w:r>
      <w:r>
        <w:rPr>
          <w:rStyle w:val="a7"/>
          <w:rFonts w:ascii="仿宋" w:eastAsia="仿宋" w:hint="eastAsia"/>
          <w:bCs/>
          <w:sz w:val="32"/>
          <w:szCs w:val="32"/>
        </w:rPr>
        <w:t>。其中：</w:t>
      </w:r>
      <w:bookmarkEnd w:id="32"/>
      <w:bookmarkEnd w:id="33"/>
      <w:bookmarkEnd w:id="34"/>
    </w:p>
    <w:p w:rsidR="00FA1047" w:rsidRDefault="00BE0974" w:rsidP="00DD251B">
      <w:pPr>
        <w:spacing w:line="600" w:lineRule="exact"/>
        <w:ind w:firstLineChars="200" w:firstLine="643"/>
        <w:rPr>
          <w:rFonts w:ascii="仿宋" w:eastAsia="仿宋"/>
          <w:b/>
          <w:sz w:val="32"/>
          <w:szCs w:val="32"/>
        </w:rPr>
      </w:pPr>
      <w:r>
        <w:rPr>
          <w:rStyle w:val="a7"/>
          <w:rFonts w:ascii="仿宋" w:eastAsia="仿宋"/>
          <w:bCs/>
          <w:sz w:val="32"/>
          <w:szCs w:val="32"/>
        </w:rPr>
        <w:t>1.</w:t>
      </w:r>
      <w:r>
        <w:rPr>
          <w:rStyle w:val="a7"/>
          <w:rFonts w:ascii="仿宋" w:eastAsia="仿宋" w:hint="eastAsia"/>
          <w:bCs/>
          <w:sz w:val="32"/>
          <w:szCs w:val="32"/>
        </w:rPr>
        <w:t>一般公共服务支出（类）宣传事务（款）其他宣传事务支出（项）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75.81</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Style w:val="a7"/>
          <w:rFonts w:ascii="仿宋" w:eastAsia="仿宋"/>
          <w:b w:val="0"/>
          <w:bCs/>
          <w:sz w:val="32"/>
          <w:szCs w:val="32"/>
        </w:rPr>
      </w:pPr>
      <w:r>
        <w:rPr>
          <w:rStyle w:val="a7"/>
          <w:rFonts w:ascii="仿宋" w:eastAsia="仿宋" w:hint="eastAsia"/>
          <w:bCs/>
          <w:sz w:val="32"/>
          <w:szCs w:val="32"/>
        </w:rPr>
        <w:t>2</w:t>
      </w:r>
      <w:r>
        <w:rPr>
          <w:rStyle w:val="a7"/>
          <w:rFonts w:ascii="仿宋" w:eastAsia="仿宋"/>
          <w:bCs/>
          <w:sz w:val="32"/>
          <w:szCs w:val="32"/>
        </w:rPr>
        <w:t>.</w:t>
      </w:r>
      <w:r>
        <w:rPr>
          <w:rStyle w:val="a7"/>
          <w:rFonts w:ascii="仿宋" w:eastAsia="仿宋" w:hint="eastAsia"/>
          <w:bCs/>
          <w:sz w:val="32"/>
          <w:szCs w:val="32"/>
        </w:rPr>
        <w:t>社会保障和就业支出（类）行政事业单位养老支出（款）事业单位离退休（项）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1512.93</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Fonts w:ascii="仿宋" w:eastAsia="仿宋"/>
          <w:b/>
          <w:sz w:val="32"/>
          <w:szCs w:val="32"/>
        </w:rPr>
      </w:pPr>
      <w:r>
        <w:rPr>
          <w:rStyle w:val="a7"/>
          <w:rFonts w:ascii="仿宋" w:eastAsia="仿宋" w:hint="eastAsia"/>
          <w:bCs/>
          <w:sz w:val="32"/>
          <w:szCs w:val="32"/>
        </w:rPr>
        <w:t>3</w:t>
      </w:r>
      <w:r>
        <w:rPr>
          <w:rStyle w:val="a7"/>
          <w:rFonts w:ascii="仿宋" w:eastAsia="仿宋"/>
          <w:bCs/>
          <w:sz w:val="32"/>
          <w:szCs w:val="32"/>
        </w:rPr>
        <w:t>.</w:t>
      </w:r>
      <w:r>
        <w:rPr>
          <w:rStyle w:val="a7"/>
          <w:rFonts w:ascii="仿宋" w:eastAsia="仿宋" w:hint="eastAsia"/>
          <w:bCs/>
          <w:sz w:val="32"/>
          <w:szCs w:val="32"/>
        </w:rPr>
        <w:t>社会保障和就业支出（类）行政事业单位养老支出（款）机关事业单位基本养老保险缴费支出（项）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325.87</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Style w:val="a7"/>
          <w:rFonts w:ascii="仿宋" w:eastAsia="仿宋"/>
          <w:b w:val="0"/>
          <w:bCs/>
          <w:sz w:val="32"/>
          <w:szCs w:val="32"/>
        </w:rPr>
      </w:pPr>
      <w:r>
        <w:rPr>
          <w:rStyle w:val="a7"/>
          <w:rFonts w:ascii="仿宋" w:eastAsia="仿宋" w:hint="eastAsia"/>
          <w:bCs/>
          <w:sz w:val="32"/>
          <w:szCs w:val="32"/>
        </w:rPr>
        <w:t>4</w:t>
      </w:r>
      <w:r>
        <w:rPr>
          <w:rStyle w:val="a7"/>
          <w:rFonts w:ascii="仿宋" w:eastAsia="仿宋"/>
          <w:bCs/>
          <w:sz w:val="32"/>
          <w:szCs w:val="32"/>
        </w:rPr>
        <w:t>.</w:t>
      </w:r>
      <w:r>
        <w:rPr>
          <w:rStyle w:val="a7"/>
          <w:rFonts w:ascii="仿宋" w:eastAsia="仿宋" w:hint="eastAsia"/>
          <w:bCs/>
          <w:sz w:val="32"/>
          <w:szCs w:val="32"/>
        </w:rPr>
        <w:t>社会保障和就业支出（类）抚恤（款）死亡抚恤（项）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128.08</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Style w:val="a7"/>
          <w:rFonts w:ascii="仿宋" w:eastAsia="仿宋"/>
          <w:b w:val="0"/>
          <w:bCs/>
          <w:sz w:val="32"/>
          <w:szCs w:val="32"/>
        </w:rPr>
      </w:pPr>
      <w:r>
        <w:rPr>
          <w:rStyle w:val="a7"/>
          <w:rFonts w:ascii="仿宋" w:eastAsia="仿宋" w:hint="eastAsia"/>
          <w:bCs/>
          <w:sz w:val="32"/>
          <w:szCs w:val="32"/>
        </w:rPr>
        <w:t>5</w:t>
      </w:r>
      <w:r>
        <w:rPr>
          <w:rStyle w:val="a7"/>
          <w:rFonts w:ascii="仿宋" w:eastAsia="仿宋"/>
          <w:bCs/>
          <w:sz w:val="32"/>
          <w:szCs w:val="32"/>
        </w:rPr>
        <w:t>.</w:t>
      </w:r>
      <w:r>
        <w:rPr>
          <w:rStyle w:val="a7"/>
          <w:rFonts w:ascii="仿宋" w:eastAsia="仿宋" w:hint="eastAsia"/>
          <w:bCs/>
          <w:sz w:val="32"/>
          <w:szCs w:val="32"/>
        </w:rPr>
        <w:t>城乡社区支出（类）城乡社区管理事务（款）其他城</w:t>
      </w:r>
      <w:r>
        <w:rPr>
          <w:rStyle w:val="a7"/>
          <w:rFonts w:ascii="仿宋" w:eastAsia="仿宋" w:hint="eastAsia"/>
          <w:bCs/>
          <w:sz w:val="32"/>
          <w:szCs w:val="32"/>
        </w:rPr>
        <w:lastRenderedPageBreak/>
        <w:t>乡社区管理事务支出（项）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150.46</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Style w:val="a7"/>
          <w:rFonts w:ascii="仿宋" w:eastAsia="仿宋"/>
          <w:b w:val="0"/>
          <w:bCs/>
          <w:sz w:val="32"/>
          <w:szCs w:val="32"/>
        </w:rPr>
      </w:pPr>
      <w:r>
        <w:rPr>
          <w:rStyle w:val="a7"/>
          <w:rFonts w:ascii="仿宋" w:eastAsia="仿宋" w:hint="eastAsia"/>
          <w:bCs/>
          <w:sz w:val="32"/>
          <w:szCs w:val="32"/>
        </w:rPr>
        <w:t>6</w:t>
      </w:r>
      <w:r>
        <w:rPr>
          <w:rStyle w:val="a7"/>
          <w:rFonts w:ascii="仿宋" w:eastAsia="仿宋"/>
          <w:bCs/>
          <w:sz w:val="32"/>
          <w:szCs w:val="32"/>
        </w:rPr>
        <w:t>.</w:t>
      </w:r>
      <w:r>
        <w:rPr>
          <w:rStyle w:val="a7"/>
          <w:rFonts w:ascii="仿宋" w:eastAsia="仿宋" w:hint="eastAsia"/>
          <w:bCs/>
          <w:sz w:val="32"/>
          <w:szCs w:val="32"/>
        </w:rPr>
        <w:t>城乡社区支出（类）城乡社区环境卫生（款）城乡社区环境卫生（项）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4684.95</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rsidP="00DD251B">
      <w:pPr>
        <w:spacing w:line="600" w:lineRule="exact"/>
        <w:ind w:firstLineChars="200" w:firstLine="643"/>
        <w:rPr>
          <w:rFonts w:ascii="仿宋" w:eastAsia="仿宋"/>
          <w:sz w:val="32"/>
          <w:szCs w:val="32"/>
        </w:rPr>
      </w:pPr>
      <w:r>
        <w:rPr>
          <w:rStyle w:val="a7"/>
          <w:rFonts w:ascii="仿宋" w:eastAsia="仿宋" w:hint="eastAsia"/>
          <w:bCs/>
          <w:sz w:val="32"/>
          <w:szCs w:val="32"/>
        </w:rPr>
        <w:t>7</w:t>
      </w:r>
      <w:r>
        <w:rPr>
          <w:rStyle w:val="a7"/>
          <w:rFonts w:ascii="仿宋" w:eastAsia="仿宋"/>
          <w:bCs/>
          <w:sz w:val="32"/>
          <w:szCs w:val="32"/>
        </w:rPr>
        <w:t>.</w:t>
      </w:r>
      <w:r>
        <w:rPr>
          <w:rStyle w:val="a7"/>
          <w:rFonts w:ascii="仿宋" w:eastAsia="仿宋" w:hint="eastAsia"/>
          <w:bCs/>
          <w:sz w:val="30"/>
          <w:szCs w:val="30"/>
        </w:rPr>
        <w:t xml:space="preserve"> </w:t>
      </w:r>
      <w:r>
        <w:rPr>
          <w:rStyle w:val="a7"/>
          <w:rFonts w:ascii="仿宋" w:eastAsia="仿宋" w:hint="eastAsia"/>
          <w:bCs/>
          <w:sz w:val="32"/>
          <w:szCs w:val="32"/>
        </w:rPr>
        <w:t>住房保障支出（类）住房改革支出（款）住房公积金（项）</w:t>
      </w:r>
      <w:r>
        <w:rPr>
          <w:rStyle w:val="a7"/>
          <w:rFonts w:ascii="仿宋" w:eastAsia="仿宋"/>
          <w:bCs/>
          <w:sz w:val="32"/>
          <w:szCs w:val="32"/>
        </w:rPr>
        <w:t>:</w:t>
      </w:r>
      <w:r>
        <w:rPr>
          <w:rStyle w:val="a7"/>
          <w:rFonts w:ascii="仿宋" w:eastAsia="仿宋"/>
          <w:b w:val="0"/>
          <w:bCs/>
          <w:sz w:val="32"/>
          <w:szCs w:val="32"/>
        </w:rPr>
        <w:t xml:space="preserve"> </w:t>
      </w:r>
      <w:r>
        <w:rPr>
          <w:rStyle w:val="a7"/>
          <w:rFonts w:ascii="仿宋" w:eastAsia="仿宋" w:hint="eastAsia"/>
          <w:b w:val="0"/>
          <w:bCs/>
          <w:sz w:val="32"/>
          <w:szCs w:val="32"/>
        </w:rPr>
        <w:t>支出决算为</w:t>
      </w:r>
      <w:r>
        <w:rPr>
          <w:rStyle w:val="a7"/>
          <w:rFonts w:ascii="仿宋" w:eastAsia="仿宋" w:hint="eastAsia"/>
          <w:b w:val="0"/>
          <w:bCs/>
          <w:sz w:val="32"/>
          <w:szCs w:val="32"/>
        </w:rPr>
        <w:t>380.88</w:t>
      </w:r>
      <w:r>
        <w:rPr>
          <w:rStyle w:val="a7"/>
          <w:rFonts w:ascii="仿宋" w:eastAsia="仿宋" w:hint="eastAsia"/>
          <w:b w:val="0"/>
          <w:bCs/>
          <w:sz w:val="32"/>
          <w:szCs w:val="32"/>
        </w:rPr>
        <w:t>万元，完成预算</w:t>
      </w:r>
      <w:r>
        <w:rPr>
          <w:rStyle w:val="a7"/>
          <w:rFonts w:ascii="仿宋" w:eastAsia="仿宋" w:hint="eastAsia"/>
          <w:b w:val="0"/>
          <w:bCs/>
          <w:sz w:val="32"/>
          <w:szCs w:val="32"/>
        </w:rPr>
        <w:t>100</w:t>
      </w:r>
      <w:r>
        <w:rPr>
          <w:rStyle w:val="a7"/>
          <w:rFonts w:ascii="仿宋" w:eastAsia="仿宋"/>
          <w:b w:val="0"/>
          <w:bCs/>
          <w:sz w:val="32"/>
          <w:szCs w:val="32"/>
        </w:rPr>
        <w:t>%</w:t>
      </w:r>
      <w:r>
        <w:rPr>
          <w:rStyle w:val="a7"/>
          <w:rFonts w:ascii="仿宋" w:eastAsia="仿宋" w:hint="eastAsia"/>
          <w:b w:val="0"/>
          <w:bCs/>
          <w:sz w:val="32"/>
          <w:szCs w:val="32"/>
        </w:rPr>
        <w:t>。</w:t>
      </w:r>
    </w:p>
    <w:p w:rsidR="00FA1047" w:rsidRDefault="00BE0974">
      <w:pPr>
        <w:tabs>
          <w:tab w:val="right" w:pos="8306"/>
        </w:tabs>
        <w:spacing w:line="600" w:lineRule="exact"/>
        <w:ind w:firstLineChars="200" w:firstLine="640"/>
        <w:outlineLvl w:val="1"/>
        <w:rPr>
          <w:rStyle w:val="2Char"/>
        </w:rPr>
      </w:pPr>
      <w:bookmarkStart w:id="35" w:name="_Toc15377214"/>
      <w:bookmarkStart w:id="36" w:name="_Toc15396608"/>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5"/>
      <w:bookmarkEnd w:id="36"/>
      <w:r>
        <w:rPr>
          <w:rStyle w:val="2Char"/>
          <w:rFonts w:ascii="黑体" w:eastAsia="黑体"/>
          <w:b w:val="0"/>
        </w:rPr>
        <w:tab/>
      </w:r>
    </w:p>
    <w:p w:rsidR="00FA1047" w:rsidRDefault="00BE0974">
      <w:pPr>
        <w:spacing w:line="600" w:lineRule="exact"/>
        <w:ind w:firstLine="645"/>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年一般公共预算财政拨款基本支出</w:t>
      </w:r>
      <w:r>
        <w:rPr>
          <w:rFonts w:ascii="仿宋_GB2312" w:eastAsia="仿宋_GB2312" w:hint="eastAsia"/>
          <w:sz w:val="32"/>
          <w:szCs w:val="32"/>
        </w:rPr>
        <w:t>6211.41</w:t>
      </w:r>
      <w:r>
        <w:rPr>
          <w:rFonts w:ascii="仿宋" w:eastAsia="仿宋" w:hint="eastAsia"/>
          <w:sz w:val="32"/>
          <w:szCs w:val="32"/>
        </w:rPr>
        <w:t>万元，其中：</w:t>
      </w:r>
    </w:p>
    <w:p w:rsidR="00FA1047" w:rsidRDefault="00BE0974">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hint="eastAsia"/>
          <w:sz w:val="32"/>
          <w:szCs w:val="32"/>
        </w:rPr>
        <w:t>6005.46</w:t>
      </w:r>
      <w:r>
        <w:rPr>
          <w:rFonts w:ascii="仿宋" w:eastAsia="仿宋" w:hint="eastAsia"/>
          <w:sz w:val="32"/>
          <w:szCs w:val="32"/>
        </w:rPr>
        <w:t>万元，主要包括：基本工资</w:t>
      </w:r>
      <w:r>
        <w:rPr>
          <w:rFonts w:ascii="仿宋" w:eastAsia="仿宋" w:hint="eastAsia"/>
          <w:sz w:val="32"/>
          <w:szCs w:val="32"/>
        </w:rPr>
        <w:t>1182.69</w:t>
      </w:r>
      <w:r>
        <w:rPr>
          <w:rFonts w:ascii="仿宋" w:eastAsia="仿宋" w:hint="eastAsia"/>
          <w:sz w:val="32"/>
          <w:szCs w:val="32"/>
        </w:rPr>
        <w:t>万元、津贴补贴</w:t>
      </w:r>
      <w:r>
        <w:rPr>
          <w:rFonts w:ascii="仿宋" w:eastAsia="仿宋" w:hint="eastAsia"/>
          <w:sz w:val="32"/>
          <w:szCs w:val="32"/>
        </w:rPr>
        <w:t>130.14</w:t>
      </w:r>
      <w:r>
        <w:rPr>
          <w:rFonts w:ascii="仿宋" w:eastAsia="仿宋" w:hint="eastAsia"/>
          <w:sz w:val="32"/>
          <w:szCs w:val="32"/>
        </w:rPr>
        <w:t>万元、绩效工资</w:t>
      </w:r>
      <w:r>
        <w:rPr>
          <w:rFonts w:ascii="仿宋" w:eastAsia="仿宋" w:hint="eastAsia"/>
          <w:sz w:val="32"/>
          <w:szCs w:val="32"/>
        </w:rPr>
        <w:t>1719.35</w:t>
      </w:r>
      <w:r>
        <w:rPr>
          <w:rFonts w:ascii="仿宋" w:eastAsia="仿宋" w:hint="eastAsia"/>
          <w:sz w:val="32"/>
          <w:szCs w:val="32"/>
        </w:rPr>
        <w:t>万元、机关事业单位基本养老保险缴费</w:t>
      </w:r>
      <w:r>
        <w:rPr>
          <w:rFonts w:ascii="仿宋" w:eastAsia="仿宋" w:hint="eastAsia"/>
          <w:sz w:val="32"/>
          <w:szCs w:val="32"/>
        </w:rPr>
        <w:t>325.87</w:t>
      </w:r>
      <w:r>
        <w:rPr>
          <w:rFonts w:ascii="仿宋" w:eastAsia="仿宋" w:hint="eastAsia"/>
          <w:sz w:val="32"/>
          <w:szCs w:val="32"/>
        </w:rPr>
        <w:t>万元、职工基本医疗保险缴费</w:t>
      </w:r>
      <w:r>
        <w:rPr>
          <w:rFonts w:ascii="仿宋" w:eastAsia="仿宋" w:hint="eastAsia"/>
          <w:sz w:val="32"/>
          <w:szCs w:val="32"/>
        </w:rPr>
        <w:t>255.19</w:t>
      </w:r>
      <w:r>
        <w:rPr>
          <w:rFonts w:ascii="仿宋" w:eastAsia="仿宋" w:hint="eastAsia"/>
          <w:sz w:val="32"/>
          <w:szCs w:val="32"/>
        </w:rPr>
        <w:t>万元、公务员医疗补助缴费</w:t>
      </w:r>
      <w:r>
        <w:rPr>
          <w:rFonts w:ascii="仿宋" w:eastAsia="仿宋" w:hint="eastAsia"/>
          <w:sz w:val="32"/>
          <w:szCs w:val="32"/>
        </w:rPr>
        <w:t>150.31</w:t>
      </w:r>
      <w:r>
        <w:rPr>
          <w:rFonts w:ascii="仿宋" w:eastAsia="仿宋" w:hint="eastAsia"/>
          <w:sz w:val="32"/>
          <w:szCs w:val="32"/>
        </w:rPr>
        <w:t>万元、其他社会保障缴费</w:t>
      </w:r>
      <w:r>
        <w:rPr>
          <w:rFonts w:ascii="仿宋" w:eastAsia="仿宋" w:hint="eastAsia"/>
          <w:sz w:val="32"/>
          <w:szCs w:val="32"/>
        </w:rPr>
        <w:t>48.34</w:t>
      </w:r>
      <w:r>
        <w:rPr>
          <w:rFonts w:ascii="仿宋" w:eastAsia="仿宋" w:hint="eastAsia"/>
          <w:sz w:val="32"/>
          <w:szCs w:val="32"/>
        </w:rPr>
        <w:t>元、其他工资福利支出</w:t>
      </w:r>
      <w:r>
        <w:rPr>
          <w:rFonts w:ascii="仿宋" w:eastAsia="仿宋" w:hint="eastAsia"/>
          <w:sz w:val="32"/>
          <w:szCs w:val="32"/>
        </w:rPr>
        <w:t>117.1</w:t>
      </w:r>
      <w:r>
        <w:rPr>
          <w:rFonts w:ascii="仿宋" w:eastAsia="仿宋" w:hint="eastAsia"/>
          <w:sz w:val="32"/>
          <w:szCs w:val="32"/>
        </w:rPr>
        <w:t>万元、离休费</w:t>
      </w:r>
      <w:r>
        <w:rPr>
          <w:rFonts w:ascii="仿宋" w:eastAsia="仿宋" w:hint="eastAsia"/>
          <w:sz w:val="32"/>
          <w:szCs w:val="32"/>
        </w:rPr>
        <w:t>60.14</w:t>
      </w:r>
      <w:r>
        <w:rPr>
          <w:rFonts w:ascii="仿宋" w:eastAsia="仿宋" w:hint="eastAsia"/>
          <w:sz w:val="32"/>
          <w:szCs w:val="32"/>
        </w:rPr>
        <w:t>万元、抚恤金</w:t>
      </w:r>
      <w:r>
        <w:rPr>
          <w:rFonts w:ascii="仿宋" w:eastAsia="仿宋" w:hint="eastAsia"/>
          <w:sz w:val="32"/>
          <w:szCs w:val="32"/>
        </w:rPr>
        <w:t>128.08</w:t>
      </w:r>
      <w:r>
        <w:rPr>
          <w:rFonts w:ascii="仿宋" w:eastAsia="仿宋" w:hint="eastAsia"/>
          <w:sz w:val="32"/>
          <w:szCs w:val="32"/>
        </w:rPr>
        <w:t>万元、生活补助</w:t>
      </w:r>
      <w:r>
        <w:rPr>
          <w:rFonts w:ascii="仿宋" w:eastAsia="仿宋" w:hint="eastAsia"/>
          <w:sz w:val="32"/>
          <w:szCs w:val="32"/>
        </w:rPr>
        <w:t>1470.13</w:t>
      </w:r>
      <w:r>
        <w:rPr>
          <w:rFonts w:ascii="仿宋" w:eastAsia="仿宋" w:hint="eastAsia"/>
          <w:sz w:val="32"/>
          <w:szCs w:val="32"/>
        </w:rPr>
        <w:t>万元、医疗费补助</w:t>
      </w:r>
      <w:r>
        <w:rPr>
          <w:rFonts w:ascii="仿宋" w:eastAsia="仿宋" w:hint="eastAsia"/>
          <w:sz w:val="32"/>
          <w:szCs w:val="32"/>
        </w:rPr>
        <w:t>37.25</w:t>
      </w:r>
      <w:r>
        <w:rPr>
          <w:rFonts w:ascii="仿宋" w:eastAsia="仿宋" w:hint="eastAsia"/>
          <w:sz w:val="32"/>
          <w:szCs w:val="32"/>
        </w:rPr>
        <w:t>万元、住房公积金</w:t>
      </w:r>
      <w:r>
        <w:rPr>
          <w:rFonts w:ascii="仿宋" w:eastAsia="仿宋" w:hint="eastAsia"/>
          <w:sz w:val="32"/>
          <w:szCs w:val="32"/>
        </w:rPr>
        <w:t>380.88</w:t>
      </w:r>
      <w:r>
        <w:rPr>
          <w:rFonts w:ascii="仿宋" w:eastAsia="仿宋" w:hint="eastAsia"/>
          <w:sz w:val="32"/>
          <w:szCs w:val="32"/>
        </w:rPr>
        <w:t>万元。</w:t>
      </w:r>
    </w:p>
    <w:p w:rsidR="00FA1047" w:rsidRDefault="00BE0974">
      <w:pPr>
        <w:spacing w:line="600" w:lineRule="exact"/>
        <w:ind w:firstLine="645"/>
        <w:rPr>
          <w:rFonts w:ascii="仿宋" w:eastAsia="仿宋"/>
          <w:sz w:val="32"/>
          <w:szCs w:val="32"/>
        </w:rPr>
      </w:pPr>
      <w:r>
        <w:rPr>
          <w:rFonts w:ascii="仿宋" w:eastAsia="仿宋" w:hint="eastAsia"/>
          <w:sz w:val="32"/>
          <w:szCs w:val="32"/>
        </w:rPr>
        <w:t>公用经费</w:t>
      </w:r>
      <w:r>
        <w:rPr>
          <w:rFonts w:ascii="仿宋" w:eastAsia="仿宋" w:hint="eastAsia"/>
          <w:sz w:val="32"/>
          <w:szCs w:val="32"/>
        </w:rPr>
        <w:t>205.9</w:t>
      </w:r>
      <w:r>
        <w:rPr>
          <w:rFonts w:ascii="仿宋" w:eastAsia="仿宋" w:hint="eastAsia"/>
          <w:sz w:val="32"/>
          <w:szCs w:val="32"/>
        </w:rPr>
        <w:t>5</w:t>
      </w:r>
      <w:r>
        <w:rPr>
          <w:rFonts w:ascii="仿宋" w:eastAsia="仿宋" w:hint="eastAsia"/>
          <w:sz w:val="32"/>
          <w:szCs w:val="32"/>
        </w:rPr>
        <w:t>万元，主要包括：办公费</w:t>
      </w:r>
      <w:r>
        <w:rPr>
          <w:rFonts w:ascii="仿宋" w:eastAsia="仿宋" w:hint="eastAsia"/>
          <w:sz w:val="32"/>
          <w:szCs w:val="32"/>
        </w:rPr>
        <w:t>7.06</w:t>
      </w:r>
      <w:r>
        <w:rPr>
          <w:rFonts w:ascii="仿宋" w:eastAsia="仿宋" w:hint="eastAsia"/>
          <w:sz w:val="32"/>
          <w:szCs w:val="32"/>
        </w:rPr>
        <w:t>万元、水费</w:t>
      </w:r>
      <w:r>
        <w:rPr>
          <w:rFonts w:ascii="仿宋" w:eastAsia="仿宋" w:hint="eastAsia"/>
          <w:sz w:val="32"/>
          <w:szCs w:val="32"/>
        </w:rPr>
        <w:t>62.18</w:t>
      </w:r>
      <w:r>
        <w:rPr>
          <w:rFonts w:ascii="仿宋" w:eastAsia="仿宋" w:hint="eastAsia"/>
          <w:sz w:val="32"/>
          <w:szCs w:val="32"/>
        </w:rPr>
        <w:t>万元、电费</w:t>
      </w:r>
      <w:r>
        <w:rPr>
          <w:rFonts w:ascii="仿宋" w:eastAsia="仿宋" w:hint="eastAsia"/>
          <w:sz w:val="32"/>
          <w:szCs w:val="32"/>
        </w:rPr>
        <w:t>24.42</w:t>
      </w:r>
      <w:r>
        <w:rPr>
          <w:rFonts w:ascii="仿宋" w:eastAsia="仿宋" w:hint="eastAsia"/>
          <w:sz w:val="32"/>
          <w:szCs w:val="32"/>
        </w:rPr>
        <w:t>万元、邮电费</w:t>
      </w:r>
      <w:r>
        <w:rPr>
          <w:rFonts w:ascii="仿宋" w:eastAsia="仿宋" w:hint="eastAsia"/>
          <w:sz w:val="32"/>
          <w:szCs w:val="32"/>
        </w:rPr>
        <w:t>5.23</w:t>
      </w:r>
      <w:r>
        <w:rPr>
          <w:rFonts w:ascii="仿宋" w:eastAsia="仿宋" w:hint="eastAsia"/>
          <w:sz w:val="32"/>
          <w:szCs w:val="32"/>
        </w:rPr>
        <w:t>万元、差旅费</w:t>
      </w:r>
      <w:r>
        <w:rPr>
          <w:rFonts w:ascii="仿宋" w:eastAsia="仿宋" w:hint="eastAsia"/>
          <w:sz w:val="32"/>
          <w:szCs w:val="32"/>
        </w:rPr>
        <w:t>6.36</w:t>
      </w:r>
      <w:r>
        <w:rPr>
          <w:rFonts w:ascii="仿宋" w:eastAsia="仿宋" w:hint="eastAsia"/>
          <w:sz w:val="32"/>
          <w:szCs w:val="32"/>
        </w:rPr>
        <w:t>万元、维修（护）费</w:t>
      </w:r>
      <w:r>
        <w:rPr>
          <w:rFonts w:ascii="仿宋" w:eastAsia="仿宋" w:hint="eastAsia"/>
          <w:sz w:val="32"/>
          <w:szCs w:val="32"/>
        </w:rPr>
        <w:t>0.31</w:t>
      </w:r>
      <w:r>
        <w:rPr>
          <w:rFonts w:ascii="仿宋" w:eastAsia="仿宋" w:hint="eastAsia"/>
          <w:sz w:val="32"/>
          <w:szCs w:val="32"/>
        </w:rPr>
        <w:t>万元、培训费</w:t>
      </w:r>
      <w:r>
        <w:rPr>
          <w:rFonts w:ascii="仿宋" w:eastAsia="仿宋" w:hint="eastAsia"/>
          <w:sz w:val="32"/>
          <w:szCs w:val="32"/>
        </w:rPr>
        <w:t>0.99</w:t>
      </w:r>
      <w:r>
        <w:rPr>
          <w:rFonts w:ascii="仿宋" w:eastAsia="仿宋" w:hint="eastAsia"/>
          <w:sz w:val="32"/>
          <w:szCs w:val="32"/>
        </w:rPr>
        <w:t>万元、劳务费</w:t>
      </w:r>
      <w:r>
        <w:rPr>
          <w:rFonts w:ascii="仿宋" w:eastAsia="仿宋" w:hint="eastAsia"/>
          <w:sz w:val="32"/>
          <w:szCs w:val="32"/>
        </w:rPr>
        <w:t>6.38</w:t>
      </w:r>
      <w:r>
        <w:rPr>
          <w:rFonts w:ascii="仿宋" w:eastAsia="仿宋" w:hint="eastAsia"/>
          <w:sz w:val="32"/>
          <w:szCs w:val="32"/>
        </w:rPr>
        <w:t>万元、工会经费</w:t>
      </w:r>
      <w:r>
        <w:rPr>
          <w:rFonts w:ascii="仿宋" w:eastAsia="仿宋" w:hint="eastAsia"/>
          <w:sz w:val="32"/>
          <w:szCs w:val="32"/>
        </w:rPr>
        <w:t>36.11</w:t>
      </w:r>
      <w:r>
        <w:rPr>
          <w:rFonts w:ascii="仿宋" w:eastAsia="仿宋" w:hint="eastAsia"/>
          <w:sz w:val="32"/>
          <w:szCs w:val="32"/>
        </w:rPr>
        <w:t>万元、福利费</w:t>
      </w:r>
      <w:r>
        <w:rPr>
          <w:rFonts w:ascii="仿宋" w:eastAsia="仿宋" w:hint="eastAsia"/>
          <w:sz w:val="32"/>
          <w:szCs w:val="32"/>
        </w:rPr>
        <w:t>11.7</w:t>
      </w:r>
      <w:r>
        <w:rPr>
          <w:rFonts w:ascii="仿宋" w:eastAsia="仿宋" w:hint="eastAsia"/>
          <w:sz w:val="32"/>
          <w:szCs w:val="32"/>
        </w:rPr>
        <w:t>万元、公务用车运行维护费</w:t>
      </w:r>
      <w:r>
        <w:rPr>
          <w:rFonts w:ascii="仿宋" w:eastAsia="仿宋" w:hint="eastAsia"/>
          <w:sz w:val="32"/>
          <w:szCs w:val="32"/>
        </w:rPr>
        <w:t>22.92</w:t>
      </w:r>
      <w:r>
        <w:rPr>
          <w:rFonts w:ascii="仿宋" w:eastAsia="仿宋" w:hint="eastAsia"/>
          <w:sz w:val="32"/>
          <w:szCs w:val="32"/>
        </w:rPr>
        <w:t>万元、其他交通费</w:t>
      </w:r>
      <w:r>
        <w:rPr>
          <w:rFonts w:ascii="仿宋" w:eastAsia="仿宋" w:hint="eastAsia"/>
          <w:sz w:val="32"/>
          <w:szCs w:val="32"/>
        </w:rPr>
        <w:t>1.56</w:t>
      </w:r>
      <w:r>
        <w:rPr>
          <w:rFonts w:ascii="仿宋" w:eastAsia="仿宋" w:hint="eastAsia"/>
          <w:sz w:val="32"/>
          <w:szCs w:val="32"/>
        </w:rPr>
        <w:t>万元、其他商品和服务支出</w:t>
      </w:r>
      <w:r>
        <w:rPr>
          <w:rFonts w:ascii="仿宋" w:eastAsia="仿宋" w:hint="eastAsia"/>
          <w:sz w:val="32"/>
          <w:szCs w:val="32"/>
        </w:rPr>
        <w:t>20</w:t>
      </w:r>
      <w:r>
        <w:rPr>
          <w:rFonts w:ascii="仿宋" w:eastAsia="仿宋" w:hint="eastAsia"/>
          <w:sz w:val="32"/>
          <w:szCs w:val="32"/>
        </w:rPr>
        <w:t>万元、专用材料费</w:t>
      </w:r>
      <w:r>
        <w:rPr>
          <w:rFonts w:ascii="仿宋" w:eastAsia="仿宋" w:hint="eastAsia"/>
          <w:sz w:val="32"/>
          <w:szCs w:val="32"/>
        </w:rPr>
        <w:t>0.73</w:t>
      </w:r>
      <w:r>
        <w:rPr>
          <w:rFonts w:ascii="仿宋" w:eastAsia="仿宋" w:hint="eastAsia"/>
          <w:sz w:val="32"/>
          <w:szCs w:val="32"/>
        </w:rPr>
        <w:t>万元。</w:t>
      </w:r>
    </w:p>
    <w:p w:rsidR="00FA1047" w:rsidRDefault="00BE0974">
      <w:pPr>
        <w:spacing w:line="600" w:lineRule="exact"/>
        <w:ind w:firstLine="640"/>
        <w:outlineLvl w:val="1"/>
        <w:rPr>
          <w:rStyle w:val="2Char"/>
          <w:rFonts w:ascii="黑体" w:eastAsia="黑体"/>
          <w:b w:val="0"/>
        </w:rPr>
      </w:pPr>
      <w:bookmarkStart w:id="37" w:name="_Toc15396609"/>
      <w:bookmarkStart w:id="38" w:name="_Toc15377215"/>
      <w:r>
        <w:rPr>
          <w:rFonts w:ascii="黑体" w:eastAsia="黑体" w:hint="eastAsia"/>
          <w:sz w:val="32"/>
          <w:szCs w:val="32"/>
        </w:rPr>
        <w:t>七、</w:t>
      </w:r>
      <w:r>
        <w:rPr>
          <w:rStyle w:val="2Char"/>
          <w:rFonts w:ascii="黑体" w:eastAsia="黑体" w:hint="eastAsia"/>
          <w:b w:val="0"/>
        </w:rPr>
        <w:t>财政拨款</w:t>
      </w:r>
      <w:r>
        <w:rPr>
          <w:rStyle w:val="2Char"/>
          <w:rFonts w:ascii="黑体" w:eastAsia="黑体" w:hint="eastAsia"/>
        </w:rPr>
        <w:t>“</w:t>
      </w:r>
      <w:r>
        <w:rPr>
          <w:rStyle w:val="2Char"/>
          <w:rFonts w:ascii="黑体" w:eastAsia="黑体" w:hint="eastAsia"/>
          <w:b w:val="0"/>
        </w:rPr>
        <w:t>三公”经费支出决算情况说明</w:t>
      </w:r>
      <w:bookmarkEnd w:id="37"/>
      <w:bookmarkEnd w:id="38"/>
    </w:p>
    <w:p w:rsidR="00FA1047" w:rsidRDefault="00BE0974">
      <w:pPr>
        <w:spacing w:line="600" w:lineRule="exact"/>
        <w:ind w:firstLine="640"/>
        <w:outlineLvl w:val="2"/>
        <w:rPr>
          <w:rFonts w:ascii="仿宋" w:eastAsia="仿宋"/>
          <w:b/>
          <w:sz w:val="32"/>
          <w:szCs w:val="32"/>
        </w:rPr>
      </w:pPr>
      <w:bookmarkStart w:id="39" w:name="_Toc15377216"/>
      <w:r>
        <w:rPr>
          <w:rFonts w:ascii="仿宋" w:eastAsia="仿宋" w:hint="eastAsia"/>
          <w:b/>
          <w:sz w:val="32"/>
          <w:szCs w:val="32"/>
        </w:rPr>
        <w:lastRenderedPageBreak/>
        <w:t>（一）“三公”经费财政拨款支出决算总体情况说明</w:t>
      </w:r>
      <w:bookmarkEnd w:id="39"/>
    </w:p>
    <w:p w:rsidR="00FA1047" w:rsidRDefault="00BE0974">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年“三公”经费财政拨款支出决算为</w:t>
      </w:r>
      <w:r>
        <w:rPr>
          <w:rFonts w:ascii="仿宋" w:eastAsia="仿宋" w:hint="eastAsia"/>
          <w:sz w:val="32"/>
          <w:szCs w:val="32"/>
        </w:rPr>
        <w:t>22.92</w:t>
      </w:r>
      <w:r>
        <w:rPr>
          <w:rFonts w:ascii="仿宋" w:eastAsia="仿宋" w:hint="eastAsia"/>
          <w:sz w:val="32"/>
          <w:szCs w:val="32"/>
        </w:rPr>
        <w:t>万元，完成预算</w:t>
      </w:r>
      <w:r>
        <w:rPr>
          <w:rFonts w:ascii="仿宋" w:eastAsia="仿宋" w:hint="eastAsia"/>
          <w:sz w:val="32"/>
          <w:szCs w:val="32"/>
        </w:rPr>
        <w:t>26.38</w:t>
      </w:r>
      <w:r>
        <w:rPr>
          <w:rFonts w:ascii="仿宋" w:eastAsia="仿宋"/>
          <w:sz w:val="32"/>
          <w:szCs w:val="32"/>
        </w:rPr>
        <w:t>%</w:t>
      </w:r>
      <w:r>
        <w:rPr>
          <w:rFonts w:ascii="仿宋" w:eastAsia="仿宋" w:hint="eastAsia"/>
          <w:sz w:val="32"/>
          <w:szCs w:val="32"/>
        </w:rPr>
        <w:t>，较上</w:t>
      </w:r>
      <w:r>
        <w:rPr>
          <w:rFonts w:ascii="仿宋" w:eastAsia="仿宋" w:hint="eastAsia"/>
          <w:sz w:val="32"/>
          <w:szCs w:val="32"/>
        </w:rPr>
        <w:t>年减少</w:t>
      </w:r>
      <w:r>
        <w:rPr>
          <w:rFonts w:ascii="仿宋" w:eastAsia="仿宋" w:hint="eastAsia"/>
          <w:sz w:val="32"/>
          <w:szCs w:val="32"/>
        </w:rPr>
        <w:t>52.87</w:t>
      </w:r>
      <w:r>
        <w:rPr>
          <w:rFonts w:ascii="仿宋" w:eastAsia="仿宋" w:hint="eastAsia"/>
          <w:sz w:val="32"/>
          <w:szCs w:val="32"/>
        </w:rPr>
        <w:t>万元，下降</w:t>
      </w:r>
      <w:r>
        <w:rPr>
          <w:rFonts w:ascii="仿宋" w:eastAsia="仿宋" w:hint="eastAsia"/>
          <w:sz w:val="32"/>
          <w:szCs w:val="32"/>
        </w:rPr>
        <w:t>69.76%</w:t>
      </w:r>
      <w:r>
        <w:rPr>
          <w:rFonts w:ascii="仿宋" w:eastAsia="仿宋" w:hint="eastAsia"/>
          <w:sz w:val="32"/>
          <w:szCs w:val="32"/>
        </w:rPr>
        <w:t>。决算数小于预算数（或与预算数持平）的主要原因是</w:t>
      </w:r>
      <w:r>
        <w:rPr>
          <w:rFonts w:ascii="仿宋" w:eastAsia="仿宋" w:hint="eastAsia"/>
          <w:color w:val="000000"/>
          <w:sz w:val="32"/>
          <w:szCs w:val="32"/>
        </w:rPr>
        <w:t>压减了“三公”经费支出</w:t>
      </w:r>
      <w:r>
        <w:rPr>
          <w:rFonts w:ascii="仿宋_GB2312" w:eastAsia="仿宋_GB2312" w:hint="eastAsia"/>
          <w:sz w:val="32"/>
          <w:szCs w:val="32"/>
        </w:rPr>
        <w:t>。</w:t>
      </w:r>
    </w:p>
    <w:p w:rsidR="00FA1047" w:rsidRDefault="00BE0974">
      <w:pPr>
        <w:spacing w:line="600" w:lineRule="exact"/>
        <w:ind w:firstLine="640"/>
        <w:outlineLvl w:val="2"/>
        <w:rPr>
          <w:rFonts w:ascii="仿宋" w:eastAsia="仿宋"/>
          <w:b/>
          <w:sz w:val="32"/>
          <w:szCs w:val="32"/>
        </w:rPr>
      </w:pPr>
      <w:bookmarkStart w:id="40" w:name="_Toc15377217"/>
      <w:r>
        <w:rPr>
          <w:rFonts w:ascii="仿宋" w:eastAsia="仿宋" w:hint="eastAsia"/>
          <w:b/>
          <w:sz w:val="32"/>
          <w:szCs w:val="32"/>
        </w:rPr>
        <w:t>（二）“三公”经费财政拨款支出决算具体情况说明</w:t>
      </w:r>
      <w:bookmarkEnd w:id="40"/>
    </w:p>
    <w:p w:rsidR="00FA1047" w:rsidRDefault="00BE0974">
      <w:pPr>
        <w:spacing w:line="600" w:lineRule="exact"/>
        <w:ind w:firstLine="640"/>
        <w:rPr>
          <w:rFonts w:ascii="仿宋" w:eastAsia="仿宋"/>
          <w:sz w:val="32"/>
          <w:szCs w:val="32"/>
        </w:rPr>
      </w:pPr>
      <w:r>
        <w:rPr>
          <w:rFonts w:ascii="仿宋" w:eastAsia="仿宋"/>
          <w:sz w:val="32"/>
          <w:szCs w:val="32"/>
        </w:rPr>
        <w:t>20</w:t>
      </w:r>
      <w:r>
        <w:rPr>
          <w:rFonts w:ascii="仿宋" w:eastAsia="仿宋" w:hint="eastAsia"/>
          <w:sz w:val="32"/>
          <w:szCs w:val="32"/>
        </w:rPr>
        <w:t>22</w:t>
      </w:r>
      <w:r>
        <w:rPr>
          <w:rFonts w:ascii="仿宋" w:eastAsia="仿宋" w:hint="eastAsia"/>
          <w:sz w:val="32"/>
          <w:szCs w:val="32"/>
        </w:rPr>
        <w:t>年“三公”经费财政拨款支出决算中，因公出国（境）费支出决算</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；公务用车购置及运行维护费支出决算</w:t>
      </w:r>
      <w:r>
        <w:rPr>
          <w:rFonts w:ascii="仿宋" w:eastAsia="仿宋" w:hint="eastAsia"/>
          <w:sz w:val="32"/>
          <w:szCs w:val="32"/>
        </w:rPr>
        <w:t>22.92</w:t>
      </w:r>
      <w:r>
        <w:rPr>
          <w:rFonts w:ascii="仿宋" w:eastAsia="仿宋" w:hint="eastAsia"/>
          <w:sz w:val="32"/>
          <w:szCs w:val="32"/>
        </w:rPr>
        <w:t>万元，占</w:t>
      </w:r>
      <w:r>
        <w:rPr>
          <w:rFonts w:ascii="仿宋" w:eastAsia="仿宋" w:hint="eastAsia"/>
          <w:sz w:val="32"/>
          <w:szCs w:val="32"/>
        </w:rPr>
        <w:t>100</w:t>
      </w:r>
      <w:r>
        <w:rPr>
          <w:rFonts w:ascii="仿宋" w:eastAsia="仿宋"/>
          <w:sz w:val="32"/>
          <w:szCs w:val="32"/>
        </w:rPr>
        <w:t>%</w:t>
      </w:r>
      <w:r>
        <w:rPr>
          <w:rFonts w:ascii="仿宋" w:eastAsia="仿宋" w:hint="eastAsia"/>
          <w:sz w:val="32"/>
          <w:szCs w:val="32"/>
        </w:rPr>
        <w:t>；公务接待费支出决算</w:t>
      </w:r>
      <w:r>
        <w:rPr>
          <w:rFonts w:ascii="仿宋" w:eastAsia="仿宋" w:hint="eastAsia"/>
          <w:sz w:val="32"/>
          <w:szCs w:val="32"/>
        </w:rPr>
        <w:t>0</w:t>
      </w:r>
      <w:r>
        <w:rPr>
          <w:rFonts w:ascii="仿宋" w:eastAsia="仿宋" w:hint="eastAsia"/>
          <w:sz w:val="32"/>
          <w:szCs w:val="32"/>
        </w:rPr>
        <w:t>万元，占</w:t>
      </w:r>
      <w:r>
        <w:rPr>
          <w:rFonts w:ascii="仿宋" w:eastAsia="仿宋" w:hint="eastAsia"/>
          <w:sz w:val="32"/>
          <w:szCs w:val="32"/>
        </w:rPr>
        <w:t>0</w:t>
      </w:r>
      <w:r>
        <w:rPr>
          <w:rFonts w:ascii="仿宋" w:eastAsia="仿宋"/>
          <w:sz w:val="32"/>
          <w:szCs w:val="32"/>
        </w:rPr>
        <w:t>%</w:t>
      </w:r>
      <w:r>
        <w:rPr>
          <w:rFonts w:ascii="仿宋" w:eastAsia="仿宋" w:hint="eastAsia"/>
          <w:sz w:val="32"/>
          <w:szCs w:val="32"/>
        </w:rPr>
        <w:t>。具体情况如下：</w:t>
      </w:r>
    </w:p>
    <w:p w:rsidR="00FA1047" w:rsidRDefault="00BE0974">
      <w:pPr>
        <w:spacing w:line="600" w:lineRule="exact"/>
        <w:ind w:firstLine="640"/>
        <w:rPr>
          <w:rFonts w:ascii="仿宋" w:eastAsia="仿宋"/>
          <w:sz w:val="32"/>
          <w:szCs w:val="32"/>
        </w:rPr>
      </w:pPr>
      <w:r>
        <w:rPr>
          <w:rFonts w:ascii="仿宋" w:eastAsia="仿宋" w:hint="eastAsia"/>
          <w:noProof/>
          <w:sz w:val="32"/>
          <w:szCs w:val="32"/>
        </w:rPr>
        <w:drawing>
          <wp:anchor distT="0" distB="0" distL="114300" distR="114300" simplePos="0" relativeHeight="28" behindDoc="0" locked="0" layoutInCell="1" hidden="0" allowOverlap="1">
            <wp:simplePos x="0" y="0"/>
            <wp:positionH relativeFrom="column">
              <wp:posOffset>819150</wp:posOffset>
            </wp:positionH>
            <wp:positionV relativeFrom="page">
              <wp:posOffset>5334000</wp:posOffset>
            </wp:positionV>
            <wp:extent cx="3757930" cy="2186940"/>
            <wp:effectExtent l="0" t="0" r="0" b="0"/>
            <wp:wrapTight wrapText="bothSides">
              <wp:wrapPolygon edited="0">
                <wp:start x="0" y="0"/>
                <wp:lineTo x="0" y="21542"/>
                <wp:lineTo x="21570" y="21542"/>
                <wp:lineTo x="21570" y="0"/>
                <wp:lineTo x="0" y="0"/>
              </wp:wrapPolygon>
            </wp:wrapTight>
            <wp:docPr id="7" name="图表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int="eastAsia"/>
          <w:sz w:val="32"/>
          <w:szCs w:val="32"/>
        </w:rPr>
        <w:t xml:space="preserve">    </w:t>
      </w:r>
    </w:p>
    <w:p w:rsidR="00FA1047" w:rsidRDefault="00FA1047">
      <w:pPr>
        <w:spacing w:line="600" w:lineRule="exact"/>
        <w:ind w:firstLine="640"/>
        <w:rPr>
          <w:rFonts w:ascii="仿宋" w:eastAsia="仿宋"/>
          <w:sz w:val="32"/>
          <w:szCs w:val="32"/>
        </w:rPr>
      </w:pPr>
    </w:p>
    <w:p w:rsidR="00FA1047" w:rsidRDefault="00FA1047">
      <w:pPr>
        <w:spacing w:line="600" w:lineRule="exact"/>
        <w:ind w:firstLine="640"/>
        <w:rPr>
          <w:rFonts w:ascii="仿宋" w:eastAsia="仿宋"/>
          <w:sz w:val="32"/>
          <w:szCs w:val="32"/>
        </w:rPr>
      </w:pPr>
    </w:p>
    <w:p w:rsidR="00FA1047" w:rsidRDefault="00FA1047">
      <w:pPr>
        <w:spacing w:line="600" w:lineRule="exact"/>
        <w:ind w:firstLine="640"/>
        <w:rPr>
          <w:rFonts w:ascii="仿宋" w:eastAsia="仿宋"/>
          <w:sz w:val="32"/>
          <w:szCs w:val="32"/>
        </w:rPr>
      </w:pPr>
    </w:p>
    <w:p w:rsidR="00FA1047" w:rsidRDefault="00FA1047">
      <w:pPr>
        <w:spacing w:line="600" w:lineRule="exact"/>
        <w:jc w:val="center"/>
        <w:rPr>
          <w:rFonts w:ascii="仿宋" w:eastAsia="仿宋"/>
          <w:sz w:val="32"/>
          <w:szCs w:val="32"/>
        </w:rPr>
      </w:pPr>
    </w:p>
    <w:p w:rsidR="00FA1047" w:rsidRDefault="00FA1047">
      <w:pPr>
        <w:spacing w:line="600" w:lineRule="exact"/>
        <w:rPr>
          <w:rFonts w:ascii="仿宋" w:eastAsia="仿宋"/>
          <w:sz w:val="32"/>
          <w:szCs w:val="32"/>
        </w:rPr>
      </w:pPr>
    </w:p>
    <w:p w:rsidR="00FA1047" w:rsidRDefault="00FA1047">
      <w:pPr>
        <w:spacing w:line="600" w:lineRule="exact"/>
        <w:ind w:firstLineChars="200" w:firstLine="640"/>
        <w:rPr>
          <w:rFonts w:ascii="仿宋" w:eastAsia="仿宋"/>
          <w:sz w:val="32"/>
          <w:szCs w:val="32"/>
        </w:rPr>
      </w:pPr>
    </w:p>
    <w:p w:rsidR="00FA1047" w:rsidRDefault="00BE0974">
      <w:pPr>
        <w:spacing w:line="600" w:lineRule="exact"/>
        <w:ind w:firstLineChars="400" w:firstLine="1280"/>
        <w:rPr>
          <w:rFonts w:ascii="仿宋" w:eastAsia="仿宋"/>
          <w:sz w:val="32"/>
          <w:szCs w:val="32"/>
        </w:rPr>
      </w:pPr>
      <w:r>
        <w:rPr>
          <w:rFonts w:ascii="仿宋" w:eastAsia="仿宋" w:hint="eastAsia"/>
          <w:sz w:val="32"/>
          <w:szCs w:val="32"/>
        </w:rPr>
        <w:t>（图</w:t>
      </w:r>
      <w:r>
        <w:rPr>
          <w:rFonts w:ascii="仿宋" w:eastAsia="仿宋" w:hint="eastAsia"/>
          <w:sz w:val="32"/>
          <w:szCs w:val="32"/>
        </w:rPr>
        <w:t>7</w:t>
      </w:r>
      <w:r>
        <w:rPr>
          <w:rFonts w:ascii="仿宋" w:eastAsia="仿宋" w:hint="eastAsia"/>
          <w:sz w:val="32"/>
          <w:szCs w:val="32"/>
        </w:rPr>
        <w:t>：“三公”经费财政拨款支出结构）</w:t>
      </w:r>
    </w:p>
    <w:p w:rsidR="00FA1047" w:rsidRDefault="00BE0974">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b/>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年持平。</w:t>
      </w:r>
    </w:p>
    <w:p w:rsidR="00FA1047" w:rsidRDefault="00BE0974">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
          <w:sz w:val="32"/>
          <w:szCs w:val="32"/>
        </w:rPr>
        <w:t>22.92</w:t>
      </w:r>
      <w:r>
        <w:rPr>
          <w:rFonts w:ascii="仿宋_GB2312" w:eastAsia="仿宋_GB2312" w:hint="eastAsia"/>
          <w:sz w:val="32"/>
          <w:szCs w:val="32"/>
        </w:rPr>
        <w:t>万元</w:t>
      </w:r>
      <w:r>
        <w:rPr>
          <w:rFonts w:ascii="仿宋_GB2312" w:eastAsia="仿宋_GB2312" w:hint="eastAsia"/>
          <w:sz w:val="32"/>
          <w:szCs w:val="32"/>
        </w:rPr>
        <w:t>,</w:t>
      </w:r>
      <w:r>
        <w:rPr>
          <w:rStyle w:val="a7"/>
          <w:rFonts w:ascii="仿宋" w:eastAsia="仿宋" w:hint="eastAsia"/>
          <w:b w:val="0"/>
          <w:bCs/>
          <w:sz w:val="32"/>
          <w:szCs w:val="32"/>
        </w:rPr>
        <w:t>完成预</w:t>
      </w:r>
      <w:r>
        <w:rPr>
          <w:rStyle w:val="a7"/>
          <w:rFonts w:ascii="仿宋" w:eastAsia="仿宋" w:hint="eastAsia"/>
          <w:b w:val="0"/>
          <w:bCs/>
          <w:sz w:val="32"/>
          <w:szCs w:val="32"/>
        </w:rPr>
        <w:lastRenderedPageBreak/>
        <w:t>算</w:t>
      </w:r>
      <w:r>
        <w:rPr>
          <w:rFonts w:ascii="仿宋" w:eastAsia="仿宋" w:hint="eastAsia"/>
          <w:sz w:val="32"/>
          <w:szCs w:val="32"/>
        </w:rPr>
        <w:t>26.38</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hint="eastAsia"/>
          <w:sz w:val="32"/>
          <w:szCs w:val="32"/>
        </w:rPr>
        <w:t>52.68</w:t>
      </w:r>
      <w:r>
        <w:rPr>
          <w:rFonts w:ascii="仿宋_GB2312" w:eastAsia="仿宋_GB2312" w:hint="eastAsia"/>
          <w:sz w:val="32"/>
          <w:szCs w:val="32"/>
        </w:rPr>
        <w:t>万元，下降</w:t>
      </w:r>
      <w:r>
        <w:rPr>
          <w:rFonts w:ascii="仿宋_GB2312" w:eastAsia="仿宋_GB2312" w:hint="eastAsia"/>
          <w:sz w:val="32"/>
          <w:szCs w:val="32"/>
        </w:rPr>
        <w:t>69.68</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2022</w:t>
      </w:r>
      <w:r>
        <w:rPr>
          <w:rFonts w:ascii="仿宋_GB2312" w:eastAsia="仿宋_GB2312" w:hint="eastAsia"/>
          <w:sz w:val="32"/>
          <w:szCs w:val="32"/>
        </w:rPr>
        <w:t>年压减了公务用车运行维护费支出。。</w:t>
      </w:r>
    </w:p>
    <w:p w:rsidR="00FA1047" w:rsidRDefault="00BE0974">
      <w:pPr>
        <w:ind w:firstLine="709"/>
        <w:rPr>
          <w:rFonts w:ascii="仿宋_GB2312" w:eastAsia="仿宋_GB2312"/>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w:t>
      </w:r>
      <w:r>
        <w:rPr>
          <w:rFonts w:ascii="仿宋_GB2312" w:eastAsia="仿宋_GB2312" w:hint="eastAsia"/>
          <w:sz w:val="32"/>
          <w:szCs w:val="32"/>
        </w:rPr>
        <w:t>,</w:t>
      </w:r>
      <w:r>
        <w:rPr>
          <w:rFonts w:ascii="仿宋_GB2312" w:eastAsia="仿宋_GB2312" w:hint="eastAsia"/>
          <w:sz w:val="32"/>
          <w:szCs w:val="32"/>
        </w:rPr>
        <w:t>单位共有</w:t>
      </w:r>
      <w:r>
        <w:rPr>
          <w:rFonts w:ascii="仿宋_GB2312" w:eastAsia="仿宋_GB2312" w:hint="eastAsia"/>
          <w:sz w:val="32"/>
          <w:szCs w:val="32"/>
        </w:rPr>
        <w:t>公务用车</w:t>
      </w:r>
      <w:r>
        <w:rPr>
          <w:rFonts w:ascii="仿宋_GB2312" w:eastAsia="仿宋_GB2312" w:hint="eastAsia"/>
          <w:sz w:val="32"/>
          <w:szCs w:val="32"/>
        </w:rPr>
        <w:t>30</w:t>
      </w:r>
      <w:r>
        <w:rPr>
          <w:rFonts w:ascii="仿宋_GB2312" w:eastAsia="仿宋_GB2312" w:hint="eastAsia"/>
          <w:sz w:val="32"/>
          <w:szCs w:val="32"/>
        </w:rPr>
        <w:t>辆。</w:t>
      </w:r>
      <w:r>
        <w:rPr>
          <w:rFonts w:ascii="仿宋_GB2312" w:eastAsia="仿宋_GB2312" w:hint="eastAsia"/>
          <w:sz w:val="32"/>
          <w:szCs w:val="32"/>
        </w:rPr>
        <w:t xml:space="preserve"> </w:t>
      </w:r>
      <w:r>
        <w:rPr>
          <w:rFonts w:ascii="仿宋_GB2312" w:eastAsia="仿宋_GB2312" w:hint="eastAsia"/>
          <w:sz w:val="32"/>
          <w:szCs w:val="32"/>
        </w:rPr>
        <w:t>其中：轿车</w:t>
      </w:r>
      <w:r>
        <w:rPr>
          <w:rFonts w:ascii="仿宋_GB2312" w:eastAsia="仿宋_GB2312" w:hint="eastAsia"/>
          <w:sz w:val="32"/>
          <w:szCs w:val="32"/>
        </w:rPr>
        <w:t>2</w:t>
      </w:r>
      <w:r>
        <w:rPr>
          <w:rFonts w:ascii="仿宋_GB2312" w:eastAsia="仿宋_GB2312" w:hint="eastAsia"/>
          <w:sz w:val="32"/>
          <w:szCs w:val="32"/>
        </w:rPr>
        <w:t>辆、越野车</w:t>
      </w:r>
      <w:r>
        <w:rPr>
          <w:rFonts w:ascii="仿宋_GB2312" w:eastAsia="仿宋_GB2312" w:hint="eastAsia"/>
          <w:sz w:val="32"/>
          <w:szCs w:val="32"/>
        </w:rPr>
        <w:t>1</w:t>
      </w:r>
      <w:r>
        <w:rPr>
          <w:rFonts w:ascii="仿宋_GB2312" w:eastAsia="仿宋_GB2312" w:hint="eastAsia"/>
          <w:sz w:val="32"/>
          <w:szCs w:val="32"/>
        </w:rPr>
        <w:t>辆、载客汽车</w:t>
      </w:r>
      <w:r>
        <w:rPr>
          <w:rFonts w:ascii="仿宋_GB2312" w:eastAsia="仿宋_GB2312" w:hint="eastAsia"/>
          <w:sz w:val="32"/>
          <w:szCs w:val="32"/>
        </w:rPr>
        <w:t>1</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生产用车（</w:t>
      </w:r>
      <w:r>
        <w:rPr>
          <w:rFonts w:ascii="仿宋_GB2312" w:eastAsia="仿宋_GB2312" w:hint="eastAsia"/>
          <w:sz w:val="32"/>
          <w:szCs w:val="32"/>
        </w:rPr>
        <w:t>含</w:t>
      </w:r>
      <w:r>
        <w:rPr>
          <w:rFonts w:ascii="仿宋_GB2312" w:eastAsia="仿宋_GB2312" w:hint="eastAsia"/>
          <w:sz w:val="32"/>
          <w:szCs w:val="32"/>
        </w:rPr>
        <w:t>特种专业技术用车</w:t>
      </w:r>
      <w:r>
        <w:rPr>
          <w:rFonts w:ascii="仿宋_GB2312" w:eastAsia="仿宋_GB2312" w:hint="eastAsia"/>
          <w:sz w:val="32"/>
          <w:szCs w:val="32"/>
        </w:rPr>
        <w:t>、</w:t>
      </w:r>
      <w:r>
        <w:rPr>
          <w:rFonts w:ascii="仿宋_GB2312" w:eastAsia="仿宋_GB2312" w:hint="eastAsia"/>
          <w:sz w:val="32"/>
          <w:szCs w:val="32"/>
        </w:rPr>
        <w:t>洒水车等</w:t>
      </w:r>
      <w:r>
        <w:rPr>
          <w:rFonts w:ascii="仿宋_GB2312" w:eastAsia="仿宋_GB2312" w:hint="eastAsia"/>
          <w:sz w:val="32"/>
          <w:szCs w:val="32"/>
        </w:rPr>
        <w:t>）</w:t>
      </w:r>
      <w:r>
        <w:rPr>
          <w:rFonts w:ascii="仿宋_GB2312" w:eastAsia="仿宋_GB2312" w:hint="eastAsia"/>
          <w:sz w:val="32"/>
          <w:szCs w:val="32"/>
        </w:rPr>
        <w:t>26</w:t>
      </w:r>
      <w:r>
        <w:rPr>
          <w:rFonts w:ascii="仿宋_GB2312" w:eastAsia="仿宋_GB2312" w:hint="eastAsia"/>
          <w:sz w:val="32"/>
          <w:szCs w:val="32"/>
        </w:rPr>
        <w:t>辆</w:t>
      </w:r>
      <w:r>
        <w:rPr>
          <w:rFonts w:ascii="仿宋_GB2312" w:eastAsia="仿宋_GB2312" w:hint="eastAsia"/>
          <w:sz w:val="32"/>
          <w:szCs w:val="32"/>
        </w:rPr>
        <w:t>。</w:t>
      </w:r>
    </w:p>
    <w:p w:rsidR="00FA1047" w:rsidRDefault="00BE0974">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b/>
          <w:sz w:val="32"/>
          <w:szCs w:val="32"/>
        </w:rPr>
        <w:t>22.92</w:t>
      </w:r>
      <w:r>
        <w:rPr>
          <w:rFonts w:ascii="仿宋_GB2312" w:eastAsia="仿宋_GB2312" w:hint="eastAsia"/>
          <w:sz w:val="32"/>
          <w:szCs w:val="32"/>
        </w:rPr>
        <w:t>万元。主要用于</w:t>
      </w:r>
      <w:r>
        <w:rPr>
          <w:rFonts w:ascii="仿宋" w:eastAsia="仿宋" w:hint="eastAsia"/>
          <w:color w:val="000000"/>
          <w:sz w:val="32"/>
          <w:szCs w:val="32"/>
        </w:rPr>
        <w:t>公务出行</w:t>
      </w:r>
      <w:r>
        <w:rPr>
          <w:rFonts w:ascii="仿宋" w:eastAsia="仿宋" w:hint="eastAsia"/>
          <w:color w:val="000000"/>
          <w:sz w:val="32"/>
          <w:szCs w:val="32"/>
        </w:rPr>
        <w:t>,</w:t>
      </w:r>
      <w:r>
        <w:rPr>
          <w:rFonts w:ascii="仿宋" w:eastAsia="仿宋" w:hint="eastAsia"/>
          <w:color w:val="000000"/>
          <w:sz w:val="32"/>
          <w:szCs w:val="32"/>
        </w:rPr>
        <w:t>园林绿化及行道树浇水、打药、修枝等</w:t>
      </w:r>
      <w:r>
        <w:rPr>
          <w:rFonts w:ascii="仿宋_GB2312" w:eastAsia="仿宋_GB2312" w:hint="eastAsia"/>
          <w:sz w:val="32"/>
          <w:szCs w:val="32"/>
        </w:rPr>
        <w:t>所需的公务用车燃料费、维修费、过路过桥费、保险费等支出。</w:t>
      </w:r>
    </w:p>
    <w:p w:rsidR="00FA1047" w:rsidRDefault="00BE0974">
      <w:pPr>
        <w:spacing w:line="600" w:lineRule="exact"/>
        <w:ind w:firstLine="64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rPr>
        <w:t>0</w:t>
      </w:r>
      <w:r>
        <w:rPr>
          <w:rFonts w:ascii="仿宋_GB2312" w:eastAsia="仿宋_GB2312" w:hint="eastAsia"/>
          <w:sz w:val="32"/>
          <w:szCs w:val="32"/>
        </w:rPr>
        <w:t>万元，</w:t>
      </w:r>
      <w:r>
        <w:rPr>
          <w:rStyle w:val="a7"/>
          <w:rFonts w:ascii="仿宋" w:eastAsia="仿宋" w:hint="eastAsia"/>
          <w:b w:val="0"/>
          <w:bCs/>
          <w:sz w:val="32"/>
          <w:szCs w:val="32"/>
        </w:rPr>
        <w:t>完成预算</w:t>
      </w:r>
      <w:r>
        <w:rPr>
          <w:rStyle w:val="a7"/>
          <w:rFonts w:ascii="仿宋" w:eastAsia="仿宋" w:hint="eastAsia"/>
          <w:b w:val="0"/>
          <w:bCs/>
          <w:sz w:val="32"/>
          <w:szCs w:val="32"/>
        </w:rPr>
        <w:t>0</w:t>
      </w:r>
      <w:r>
        <w:rPr>
          <w:rStyle w:val="a7"/>
          <w:rFonts w:ascii="仿宋" w:eastAsia="仿宋"/>
          <w:b w:val="0"/>
          <w:bCs/>
          <w:sz w:val="32"/>
          <w:szCs w:val="32"/>
        </w:rPr>
        <w:t>%</w:t>
      </w:r>
      <w:r>
        <w:rPr>
          <w:rStyle w:val="a7"/>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hint="eastAsia"/>
          <w:sz w:val="32"/>
          <w:szCs w:val="32"/>
        </w:rPr>
        <w:t>0.2</w:t>
      </w:r>
      <w:r>
        <w:rPr>
          <w:rFonts w:ascii="仿宋_GB2312" w:eastAsia="仿宋_GB2312" w:hint="eastAsia"/>
          <w:sz w:val="32"/>
          <w:szCs w:val="32"/>
        </w:rPr>
        <w:t>万元，下降</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2022</w:t>
      </w:r>
      <w:r>
        <w:rPr>
          <w:rFonts w:ascii="仿宋_GB2312" w:eastAsia="仿宋_GB2312" w:hint="eastAsia"/>
          <w:sz w:val="32"/>
          <w:szCs w:val="32"/>
        </w:rPr>
        <w:t>年未发生公务接待费。</w:t>
      </w:r>
    </w:p>
    <w:p w:rsidR="00FA1047" w:rsidRDefault="00BE0974">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hint="eastAsia"/>
          <w:b/>
          <w:sz w:val="32"/>
          <w:szCs w:val="32"/>
        </w:rPr>
        <w:t>0</w:t>
      </w:r>
      <w:r>
        <w:rPr>
          <w:rFonts w:ascii="仿宋_GB2312" w:eastAsia="仿宋_GB2312" w:hint="eastAsia"/>
          <w:sz w:val="32"/>
          <w:szCs w:val="32"/>
        </w:rPr>
        <w:t>万元，国内公务接待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p>
    <w:p w:rsidR="00FA1047" w:rsidRDefault="00BE0974" w:rsidP="00DD251B">
      <w:pPr>
        <w:spacing w:line="600" w:lineRule="exact"/>
        <w:ind w:firstLineChars="200" w:firstLine="643"/>
        <w:rPr>
          <w:rFonts w:ascii="仿宋_GB2312" w:eastAsia="仿宋_GB2312"/>
          <w:sz w:val="32"/>
          <w:szCs w:val="32"/>
        </w:rPr>
      </w:pPr>
      <w:r>
        <w:rPr>
          <w:rFonts w:ascii="仿宋" w:eastAsia="仿宋" w:hint="eastAsia"/>
          <w:b/>
          <w:sz w:val="32"/>
          <w:szCs w:val="32"/>
        </w:rPr>
        <w:t>外事接待支出</w:t>
      </w:r>
      <w:r>
        <w:rPr>
          <w:rFonts w:ascii="仿宋" w:eastAsia="仿宋" w:hint="eastAsia"/>
          <w:b/>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p>
    <w:p w:rsidR="00FA1047" w:rsidRDefault="00FA1047">
      <w:pPr>
        <w:spacing w:line="600" w:lineRule="exact"/>
        <w:ind w:firstLine="640"/>
        <w:outlineLvl w:val="1"/>
        <w:rPr>
          <w:rFonts w:ascii="黑体" w:eastAsia="黑体"/>
          <w:sz w:val="32"/>
          <w:szCs w:val="32"/>
        </w:rPr>
      </w:pPr>
      <w:bookmarkStart w:id="41" w:name="_Toc15396610"/>
      <w:bookmarkStart w:id="42" w:name="_Toc15377218"/>
    </w:p>
    <w:p w:rsidR="00FA1047" w:rsidRDefault="00BE0974">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1"/>
      <w:bookmarkEnd w:id="42"/>
    </w:p>
    <w:p w:rsidR="00FA1047" w:rsidRDefault="00BE097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FA1047" w:rsidRDefault="00FA1047">
      <w:pPr>
        <w:spacing w:line="600" w:lineRule="exact"/>
        <w:ind w:firstLine="640"/>
        <w:rPr>
          <w:rFonts w:ascii="仿宋_GB2312" w:eastAsia="仿宋_GB2312"/>
          <w:sz w:val="32"/>
          <w:szCs w:val="32"/>
        </w:rPr>
      </w:pPr>
    </w:p>
    <w:p w:rsidR="00FA1047" w:rsidRDefault="00BE0974">
      <w:pPr>
        <w:numPr>
          <w:ilvl w:val="0"/>
          <w:numId w:val="3"/>
        </w:numPr>
        <w:spacing w:line="600" w:lineRule="exact"/>
        <w:ind w:firstLine="640"/>
        <w:outlineLvl w:val="1"/>
        <w:rPr>
          <w:rStyle w:val="2Char"/>
          <w:rFonts w:ascii="黑体" w:eastAsia="黑体"/>
          <w:b w:val="0"/>
        </w:rPr>
      </w:pPr>
      <w:bookmarkStart w:id="43" w:name="_Toc15377219"/>
      <w:bookmarkStart w:id="44" w:name="_Toc15396611"/>
      <w:r>
        <w:rPr>
          <w:rStyle w:val="2Char"/>
          <w:rFonts w:ascii="黑体" w:eastAsia="黑体" w:hint="eastAsia"/>
          <w:b w:val="0"/>
        </w:rPr>
        <w:lastRenderedPageBreak/>
        <w:t>国有资本经营预算支出决算情况说明</w:t>
      </w:r>
      <w:bookmarkEnd w:id="43"/>
      <w:bookmarkEnd w:id="44"/>
    </w:p>
    <w:p w:rsidR="00FA1047" w:rsidRDefault="00BE0974">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FA1047" w:rsidRDefault="00FA1047">
      <w:pPr>
        <w:spacing w:line="580" w:lineRule="exact"/>
        <w:jc w:val="center"/>
        <w:rPr>
          <w:rFonts w:ascii="方正小标宋简体" w:eastAsia="方正小标宋简体" w:cs="方正小标宋简体"/>
          <w:sz w:val="44"/>
          <w:szCs w:val="44"/>
        </w:rPr>
      </w:pPr>
    </w:p>
    <w:p w:rsidR="00FA1047" w:rsidRDefault="00BE0974">
      <w:pPr>
        <w:numPr>
          <w:ilvl w:val="0"/>
          <w:numId w:val="3"/>
        </w:numPr>
        <w:spacing w:line="600" w:lineRule="exact"/>
        <w:ind w:firstLine="640"/>
        <w:outlineLvl w:val="1"/>
        <w:rPr>
          <w:rStyle w:val="2Char"/>
          <w:rFonts w:ascii="黑体" w:eastAsia="黑体"/>
          <w:b w:val="0"/>
        </w:rPr>
      </w:pPr>
      <w:bookmarkStart w:id="45" w:name="_Toc15377221"/>
      <w:bookmarkStart w:id="46" w:name="_Toc15396612"/>
      <w:r>
        <w:rPr>
          <w:rStyle w:val="2Char"/>
          <w:rFonts w:ascii="黑体" w:eastAsia="黑体" w:hint="eastAsia"/>
          <w:b w:val="0"/>
        </w:rPr>
        <w:t>其他重要事项的情况说明</w:t>
      </w:r>
      <w:bookmarkEnd w:id="45"/>
      <w:bookmarkEnd w:id="46"/>
    </w:p>
    <w:p w:rsidR="00FA1047" w:rsidRDefault="00BE0974" w:rsidP="00DD251B">
      <w:pPr>
        <w:spacing w:line="600" w:lineRule="exact"/>
        <w:ind w:firstLineChars="200" w:firstLine="643"/>
        <w:outlineLvl w:val="2"/>
        <w:rPr>
          <w:rFonts w:ascii="仿宋" w:eastAsia="仿宋"/>
          <w:sz w:val="32"/>
          <w:szCs w:val="32"/>
        </w:rPr>
      </w:pPr>
      <w:bookmarkStart w:id="47" w:name="_Toc15377222"/>
      <w:r>
        <w:rPr>
          <w:rFonts w:ascii="仿宋" w:eastAsia="仿宋" w:hint="eastAsia"/>
          <w:b/>
          <w:sz w:val="32"/>
          <w:szCs w:val="32"/>
        </w:rPr>
        <w:t>（一）机关运行经费支出情况</w:t>
      </w:r>
      <w:bookmarkEnd w:id="47"/>
    </w:p>
    <w:p w:rsidR="00FA1047" w:rsidRDefault="00BE097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年，攀枝花市园林绿化服务中心机关运行经费支出</w:t>
      </w:r>
      <w:r>
        <w:rPr>
          <w:rFonts w:ascii="仿宋_GB2312" w:eastAsia="仿宋_GB2312" w:hint="eastAsia"/>
          <w:sz w:val="32"/>
          <w:szCs w:val="32"/>
        </w:rPr>
        <w:t>0</w:t>
      </w:r>
      <w:r>
        <w:rPr>
          <w:rFonts w:ascii="仿宋_GB2312" w:eastAsia="仿宋_GB2312" w:hint="eastAsia"/>
          <w:sz w:val="32"/>
          <w:szCs w:val="32"/>
        </w:rPr>
        <w:t>万元，与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年决算数持平。</w:t>
      </w:r>
    </w:p>
    <w:p w:rsidR="00FA1047" w:rsidRDefault="00BE0974" w:rsidP="00DD251B">
      <w:pPr>
        <w:autoSpaceDE w:val="0"/>
        <w:autoSpaceDN w:val="0"/>
        <w:adjustRightInd w:val="0"/>
        <w:spacing w:line="600" w:lineRule="exact"/>
        <w:ind w:firstLineChars="200" w:firstLine="643"/>
        <w:jc w:val="left"/>
        <w:outlineLvl w:val="2"/>
        <w:rPr>
          <w:rFonts w:ascii="仿宋" w:eastAsia="仿宋"/>
          <w:b/>
          <w:sz w:val="32"/>
          <w:szCs w:val="32"/>
        </w:rPr>
      </w:pPr>
      <w:bookmarkStart w:id="48" w:name="_Toc15377223"/>
      <w:r>
        <w:rPr>
          <w:rFonts w:ascii="仿宋" w:eastAsia="仿宋" w:hint="eastAsia"/>
          <w:b/>
          <w:sz w:val="32"/>
          <w:szCs w:val="32"/>
        </w:rPr>
        <w:t>（二）政府采购支出情况</w:t>
      </w:r>
      <w:bookmarkEnd w:id="48"/>
    </w:p>
    <w:p w:rsidR="00FA1047" w:rsidRDefault="00BE0974">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年，政府采购支出总额</w:t>
      </w:r>
      <w:r>
        <w:rPr>
          <w:rFonts w:ascii="仿宋_GB2312" w:eastAsia="仿宋_GB2312" w:hint="eastAsia"/>
          <w:sz w:val="32"/>
          <w:szCs w:val="32"/>
        </w:rPr>
        <w:t>0</w:t>
      </w:r>
      <w:r>
        <w:rPr>
          <w:rFonts w:ascii="仿宋_GB2312" w:eastAsia="仿宋_GB2312" w:hint="eastAsia"/>
          <w:sz w:val="32"/>
          <w:szCs w:val="32"/>
        </w:rPr>
        <w:t>万元，其中：政府采购货物支出</w:t>
      </w:r>
      <w:r>
        <w:rPr>
          <w:rFonts w:ascii="仿宋_GB2312" w:eastAsia="仿宋_GB2312" w:hint="eastAsia"/>
          <w:sz w:val="32"/>
          <w:szCs w:val="32"/>
        </w:rPr>
        <w:t>0</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万元。授予中小企业合同金额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Pr>
          <w:rFonts w:ascii="仿宋_GB2312" w:eastAsia="仿宋_GB2312" w:hint="eastAsia"/>
          <w:sz w:val="32"/>
          <w:szCs w:val="32"/>
        </w:rPr>
        <w:t>0</w:t>
      </w:r>
      <w:r>
        <w:rPr>
          <w:rFonts w:ascii="仿宋_GB2312" w:eastAsia="仿宋_GB2312" w:hint="eastAsia"/>
          <w:sz w:val="32"/>
          <w:szCs w:val="32"/>
        </w:rPr>
        <w:t>万元，占政府采购支出总额的</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p>
    <w:p w:rsidR="00FA1047" w:rsidRDefault="00BE0974" w:rsidP="00DD251B">
      <w:pPr>
        <w:autoSpaceDE w:val="0"/>
        <w:autoSpaceDN w:val="0"/>
        <w:adjustRightInd w:val="0"/>
        <w:spacing w:line="600" w:lineRule="exact"/>
        <w:ind w:firstLineChars="200" w:firstLine="643"/>
        <w:jc w:val="left"/>
        <w:outlineLvl w:val="2"/>
        <w:rPr>
          <w:rFonts w:ascii="仿宋" w:eastAsia="仿宋"/>
          <w:b/>
          <w:sz w:val="32"/>
          <w:szCs w:val="32"/>
        </w:rPr>
      </w:pPr>
      <w:bookmarkStart w:id="49" w:name="_Toc15377224"/>
      <w:r>
        <w:rPr>
          <w:rFonts w:ascii="仿宋" w:eastAsia="仿宋" w:hint="eastAsia"/>
          <w:b/>
          <w:sz w:val="32"/>
          <w:szCs w:val="32"/>
        </w:rPr>
        <w:t>（三）国有资产占有使用情况</w:t>
      </w:r>
      <w:bookmarkEnd w:id="49"/>
    </w:p>
    <w:p w:rsidR="00FA1047" w:rsidRDefault="00BE0974">
      <w:pPr>
        <w:autoSpaceDE w:val="0"/>
        <w:autoSpaceDN w:val="0"/>
        <w:adjustRightInd w:val="0"/>
        <w:spacing w:line="600" w:lineRule="exact"/>
        <w:ind w:firstLineChars="150" w:firstLine="48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日，攀枝花市园林绿化服务中心共有车辆</w:t>
      </w:r>
      <w:r>
        <w:rPr>
          <w:rFonts w:ascii="仿宋_GB2312" w:eastAsia="仿宋_GB2312" w:hint="eastAsia"/>
          <w:sz w:val="32"/>
          <w:szCs w:val="32"/>
        </w:rPr>
        <w:t>30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19</w:t>
      </w:r>
      <w:r>
        <w:rPr>
          <w:rFonts w:ascii="仿宋_GB2312" w:eastAsia="仿宋_GB2312" w:hint="eastAsia"/>
          <w:sz w:val="32"/>
          <w:szCs w:val="32"/>
        </w:rPr>
        <w:t>辆，其他用车</w:t>
      </w:r>
      <w:r>
        <w:rPr>
          <w:rFonts w:ascii="仿宋_GB2312" w:eastAsia="仿宋_GB2312" w:hint="eastAsia"/>
          <w:sz w:val="32"/>
          <w:szCs w:val="32"/>
        </w:rPr>
        <w:t>11</w:t>
      </w:r>
      <w:r>
        <w:rPr>
          <w:rFonts w:ascii="仿宋_GB2312" w:eastAsia="仿宋_GB2312" w:hint="eastAsia"/>
          <w:sz w:val="32"/>
          <w:szCs w:val="32"/>
        </w:rPr>
        <w:t>辆，其他用车主要是用于公务出行及园林绿化及行道树管护等工作。单价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FA1047" w:rsidRDefault="00BE0974" w:rsidP="00DD251B">
      <w:pPr>
        <w:autoSpaceDE w:val="0"/>
        <w:autoSpaceDN w:val="0"/>
        <w:adjustRightInd w:val="0"/>
        <w:spacing w:line="600" w:lineRule="exact"/>
        <w:ind w:firstLineChars="200" w:firstLine="643"/>
        <w:jc w:val="left"/>
        <w:outlineLvl w:val="2"/>
        <w:rPr>
          <w:rFonts w:ascii="仿宋" w:eastAsia="仿宋"/>
          <w:b/>
          <w:sz w:val="32"/>
          <w:szCs w:val="32"/>
        </w:rPr>
      </w:pPr>
      <w:r>
        <w:rPr>
          <w:rFonts w:ascii="仿宋" w:eastAsia="仿宋" w:hint="eastAsia"/>
          <w:b/>
          <w:sz w:val="32"/>
          <w:szCs w:val="32"/>
        </w:rPr>
        <w:t>（四）预算绩效管理情况</w:t>
      </w:r>
    </w:p>
    <w:p w:rsidR="00FA1047" w:rsidRDefault="00BE0974">
      <w:pPr>
        <w:pStyle w:val="a0"/>
        <w:spacing w:beforeLines="0" w:before="93"/>
        <w:ind w:leftChars="152" w:left="319" w:firstLineChars="100" w:firstLine="320"/>
        <w:rPr>
          <w:highlight w:val="yellow"/>
        </w:rPr>
      </w:pPr>
      <w:r>
        <w:rPr>
          <w:rFonts w:cs="仿宋_GB2312" w:hint="eastAsia"/>
          <w:sz w:val="32"/>
          <w:szCs w:val="32"/>
        </w:rPr>
        <w:t>根据预算绩效管理要求，本单位在</w:t>
      </w:r>
      <w:r>
        <w:rPr>
          <w:rFonts w:cs="仿宋_GB2312" w:hint="eastAsia"/>
          <w:sz w:val="32"/>
          <w:szCs w:val="32"/>
        </w:rPr>
        <w:t>2022</w:t>
      </w:r>
      <w:r>
        <w:rPr>
          <w:rFonts w:cs="仿宋_GB2312" w:hint="eastAsia"/>
          <w:sz w:val="32"/>
          <w:szCs w:val="32"/>
        </w:rPr>
        <w:t>年度预算编制阶段，组织对</w:t>
      </w:r>
      <w:r>
        <w:rPr>
          <w:rFonts w:cs="仿宋_GB2312" w:hint="eastAsia"/>
          <w:sz w:val="32"/>
          <w:szCs w:val="32"/>
        </w:rPr>
        <w:t>基本公用支出、工资性支出、基本养老保险、党建经费</w:t>
      </w:r>
      <w:r>
        <w:rPr>
          <w:rFonts w:cs="仿宋_GB2312" w:hint="eastAsia"/>
          <w:sz w:val="32"/>
          <w:szCs w:val="32"/>
        </w:rPr>
        <w:t>项目等</w:t>
      </w:r>
      <w:r>
        <w:rPr>
          <w:rFonts w:cs="仿宋_GB2312" w:hint="eastAsia"/>
          <w:sz w:val="32"/>
          <w:szCs w:val="32"/>
        </w:rPr>
        <w:t>23</w:t>
      </w:r>
      <w:r>
        <w:rPr>
          <w:rFonts w:cs="仿宋_GB2312" w:hint="eastAsia"/>
          <w:sz w:val="32"/>
          <w:szCs w:val="32"/>
        </w:rPr>
        <w:t>个项目开展了预算事前绩效评估，对</w:t>
      </w:r>
      <w:r>
        <w:rPr>
          <w:rFonts w:cs="仿宋_GB2312" w:hint="eastAsia"/>
          <w:sz w:val="32"/>
          <w:szCs w:val="32"/>
        </w:rPr>
        <w:lastRenderedPageBreak/>
        <w:t>32</w:t>
      </w:r>
      <w:r>
        <w:rPr>
          <w:rFonts w:cs="仿宋_GB2312" w:hint="eastAsia"/>
          <w:sz w:val="32"/>
          <w:szCs w:val="32"/>
        </w:rPr>
        <w:t>个项目编制了绩效目标，预算执行过程中，选取</w:t>
      </w:r>
      <w:r>
        <w:rPr>
          <w:rFonts w:cs="仿宋_GB2312" w:hint="eastAsia"/>
          <w:sz w:val="32"/>
          <w:szCs w:val="32"/>
        </w:rPr>
        <w:t>32</w:t>
      </w:r>
      <w:r>
        <w:rPr>
          <w:rFonts w:cs="仿宋_GB2312" w:hint="eastAsia"/>
          <w:sz w:val="32"/>
          <w:szCs w:val="32"/>
        </w:rPr>
        <w:t>个项目开展绩效监控，组织对</w:t>
      </w:r>
      <w:r>
        <w:rPr>
          <w:rFonts w:cs="仿宋_GB2312" w:hint="eastAsia"/>
          <w:sz w:val="32"/>
          <w:szCs w:val="32"/>
        </w:rPr>
        <w:t>32</w:t>
      </w:r>
      <w:r>
        <w:rPr>
          <w:rFonts w:cs="仿宋_GB2312" w:hint="eastAsia"/>
          <w:sz w:val="32"/>
          <w:szCs w:val="32"/>
        </w:rPr>
        <w:t>个项目开展绩效自评，绩效自评表详见第四部分附件。</w:t>
      </w:r>
    </w:p>
    <w:p w:rsidR="00FA1047" w:rsidRDefault="00BE0974">
      <w:pPr>
        <w:widowControl/>
        <w:jc w:val="left"/>
        <w:rPr>
          <w:rFonts w:ascii="仿宋_GB2312" w:eastAsia="仿宋_GB2312"/>
          <w:b/>
          <w:sz w:val="32"/>
          <w:szCs w:val="32"/>
        </w:rPr>
      </w:pPr>
      <w:r>
        <w:rPr>
          <w:rFonts w:ascii="仿宋_GB2312" w:eastAsia="仿宋_GB2312"/>
          <w:b/>
          <w:sz w:val="32"/>
          <w:szCs w:val="32"/>
        </w:rPr>
        <w:br w:type="page"/>
      </w:r>
    </w:p>
    <w:p w:rsidR="00FA1047" w:rsidRDefault="00BE0974">
      <w:pPr>
        <w:numPr>
          <w:ilvl w:val="0"/>
          <w:numId w:val="4"/>
        </w:numPr>
        <w:spacing w:line="600" w:lineRule="exact"/>
        <w:ind w:firstLineChars="150" w:firstLine="660"/>
        <w:jc w:val="center"/>
        <w:outlineLvl w:val="0"/>
        <w:rPr>
          <w:rStyle w:val="1Char"/>
          <w:rFonts w:ascii="黑体" w:eastAsia="黑体"/>
          <w:b w:val="0"/>
        </w:rPr>
      </w:pPr>
      <w:bookmarkStart w:id="50" w:name="_Toc15377225"/>
      <w:bookmarkStart w:id="51" w:name="_Toc15396613"/>
      <w:r>
        <w:rPr>
          <w:rFonts w:ascii="黑体" w:eastAsia="黑体" w:hint="eastAsia"/>
          <w:sz w:val="44"/>
          <w:szCs w:val="44"/>
        </w:rPr>
        <w:lastRenderedPageBreak/>
        <w:t>名</w:t>
      </w:r>
      <w:r>
        <w:rPr>
          <w:rStyle w:val="1Char"/>
          <w:rFonts w:ascii="黑体" w:eastAsia="黑体" w:hint="eastAsia"/>
          <w:b w:val="0"/>
        </w:rPr>
        <w:t>词解释</w:t>
      </w:r>
      <w:bookmarkEnd w:id="50"/>
      <w:bookmarkEnd w:id="51"/>
    </w:p>
    <w:p w:rsidR="00FA1047" w:rsidRDefault="00FA1047">
      <w:pPr>
        <w:spacing w:line="600" w:lineRule="exact"/>
        <w:jc w:val="left"/>
        <w:rPr>
          <w:rFonts w:ascii="宋体"/>
          <w:b/>
          <w:sz w:val="44"/>
          <w:szCs w:val="44"/>
        </w:rPr>
      </w:pP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w:t>
      </w:r>
      <w:r>
        <w:rPr>
          <w:rFonts w:ascii="仿宋_GB2312" w:eastAsia="仿宋_GB2312"/>
          <w:color w:val="auto"/>
          <w:sz w:val="32"/>
          <w:szCs w:val="32"/>
        </w:rPr>
        <w:t>.</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color w:val="auto"/>
          <w:sz w:val="32"/>
          <w:szCs w:val="32"/>
        </w:rPr>
        <w:t>.</w:t>
      </w:r>
      <w:r>
        <w:rPr>
          <w:rFonts w:ascii="仿宋_GB2312" w:eastAsia="仿宋_GB2312" w:hint="eastAsia"/>
          <w:color w:val="auto"/>
          <w:sz w:val="32"/>
          <w:szCs w:val="32"/>
        </w:rPr>
        <w:t>结余分配：指事业单位按照会计制度规定缴纳的所得税、提取的专用结余以及转入非财政拨款结余的金额等。</w:t>
      </w: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5.</w:t>
      </w:r>
      <w:r>
        <w:rPr>
          <w:rFonts w:ascii="仿宋_GB2312" w:eastAsia="仿宋_GB2312" w:hint="eastAsia"/>
          <w:color w:val="auto"/>
          <w:sz w:val="32"/>
          <w:szCs w:val="32"/>
        </w:rPr>
        <w:t>年末结转和结余：指单位按有关规定结转到下年或以后年度继续使用的资金。</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一般公共服务支出（类）宣传事务（款）其他宣传事务支出（项）：指用于其他中国共产党宣传部门的事务支出。</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社会保障和就业支出（类）行政事业单位养老支出（款）事业单位离退休（项）：指事业单位支出的离退休经费。</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社会保障和就业支出（类）行政事业单位养老支出</w:t>
      </w:r>
      <w:r>
        <w:rPr>
          <w:rFonts w:ascii="仿宋_GB2312" w:eastAsia="仿宋_GB2312" w:hint="eastAsia"/>
          <w:sz w:val="32"/>
          <w:szCs w:val="32"/>
        </w:rPr>
        <w:t>（款）机关事业单位基本养老保险缴费支出（项）：指机关事业单位实施养老保险制度由单位缴纳的基本养老保险费支出。</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社会保障和就业支出（类）抚恤（款）死亡抚恤（项）：指用于烈士和牺牲、病故人员家属的一次性和定期抚恤金、丧葬补助费以及烈士褒扬金。</w:t>
      </w:r>
    </w:p>
    <w:p w:rsidR="00FA1047" w:rsidRDefault="00BE097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城乡社区支出（类）城乡社区管理事务（款）其他</w:t>
      </w:r>
      <w:r>
        <w:rPr>
          <w:rFonts w:ascii="仿宋_GB2312" w:eastAsia="仿宋_GB2312" w:hint="eastAsia"/>
          <w:sz w:val="32"/>
          <w:szCs w:val="32"/>
        </w:rPr>
        <w:lastRenderedPageBreak/>
        <w:t>城乡社区管理事务支出（项）：指用于其他城乡社区方面的支出。</w:t>
      </w:r>
    </w:p>
    <w:p w:rsidR="00FA1047" w:rsidRDefault="00BE0974">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城乡社区支出（类）城乡社区环境卫生（款）城乡社区环境卫生（项）：指城乡社区道路清扫、垃圾清运与处理、公厕建设与维护、园林绿化等方面的支出。</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sz w:val="32"/>
          <w:szCs w:val="32"/>
        </w:rPr>
        <w:t>.</w:t>
      </w:r>
      <w:r>
        <w:rPr>
          <w:rFonts w:ascii="仿宋_GB2312" w:eastAsia="仿宋_GB2312" w:hint="eastAsia"/>
          <w:sz w:val="32"/>
          <w:szCs w:val="32"/>
        </w:rPr>
        <w:t>住房保</w:t>
      </w:r>
      <w:r>
        <w:rPr>
          <w:rFonts w:ascii="仿宋_GB2312" w:eastAsia="仿宋_GB2312" w:hint="eastAsia"/>
          <w:sz w:val="32"/>
          <w:szCs w:val="32"/>
        </w:rPr>
        <w:t>障支出（类）住房改革支出（款）住房公积金（项）：指行政事业单位按人力资源和社会保障部、财政部规定的基本工资和津贴补贴以及规定比例为职工缴纳的住房公积金。</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FA1047" w:rsidRDefault="00BE0974">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FA1047" w:rsidRDefault="00BE097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w:t>
      </w:r>
      <w:r>
        <w:rPr>
          <w:rFonts w:ascii="仿宋_GB2312" w:eastAsia="仿宋_GB2312" w:hint="eastAsia"/>
          <w:color w:val="auto"/>
          <w:sz w:val="32"/>
          <w:szCs w:val="32"/>
        </w:rPr>
        <w:t>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rsidR="00FA1047" w:rsidRDefault="00FA1047">
      <w:pPr>
        <w:pStyle w:val="Default"/>
        <w:spacing w:line="560" w:lineRule="exact"/>
        <w:ind w:firstLineChars="200" w:firstLine="640"/>
        <w:rPr>
          <w:rFonts w:ascii="仿宋_GB2312" w:eastAsia="仿宋_GB2312"/>
          <w:color w:val="auto"/>
          <w:sz w:val="32"/>
          <w:szCs w:val="32"/>
        </w:rPr>
      </w:pPr>
    </w:p>
    <w:p w:rsidR="00FA1047" w:rsidRDefault="00FA1047">
      <w:pPr>
        <w:pStyle w:val="Default"/>
        <w:spacing w:line="560" w:lineRule="exact"/>
        <w:ind w:firstLineChars="200" w:firstLine="640"/>
        <w:rPr>
          <w:rFonts w:ascii="仿宋_GB2312" w:eastAsia="仿宋_GB2312" w:cs="黑体"/>
          <w:color w:val="auto"/>
          <w:sz w:val="32"/>
          <w:szCs w:val="32"/>
        </w:rPr>
      </w:pPr>
    </w:p>
    <w:p w:rsidR="00FA1047" w:rsidRDefault="00BE0974">
      <w:pPr>
        <w:spacing w:line="600" w:lineRule="exact"/>
        <w:jc w:val="center"/>
        <w:outlineLvl w:val="0"/>
        <w:rPr>
          <w:rStyle w:val="1Char"/>
          <w:rFonts w:ascii="黑体" w:eastAsia="黑体"/>
          <w:b w:val="0"/>
        </w:rPr>
      </w:pPr>
      <w:bookmarkStart w:id="52" w:name="_Toc15377226"/>
      <w:r>
        <w:rPr>
          <w:rFonts w:ascii="宋体"/>
          <w:b/>
          <w:sz w:val="44"/>
          <w:szCs w:val="44"/>
        </w:rPr>
        <w:br w:type="page"/>
      </w:r>
      <w:bookmarkStart w:id="53" w:name="_Toc15396614"/>
      <w:r>
        <w:rPr>
          <w:rFonts w:ascii="黑体" w:eastAsia="黑体" w:hint="eastAsia"/>
          <w:sz w:val="44"/>
          <w:szCs w:val="44"/>
        </w:rPr>
        <w:lastRenderedPageBreak/>
        <w:t>第</w:t>
      </w:r>
      <w:r>
        <w:rPr>
          <w:rStyle w:val="1Char"/>
          <w:rFonts w:ascii="黑体" w:eastAsia="黑体" w:hint="eastAsia"/>
          <w:b w:val="0"/>
        </w:rPr>
        <w:t>四部分</w:t>
      </w:r>
      <w:r>
        <w:rPr>
          <w:rStyle w:val="1Char"/>
          <w:rFonts w:ascii="黑体" w:eastAsia="黑体" w:hint="eastAsia"/>
          <w:b w:val="0"/>
        </w:rPr>
        <w:t xml:space="preserve"> </w:t>
      </w:r>
      <w:r>
        <w:rPr>
          <w:rStyle w:val="1Char"/>
          <w:rFonts w:ascii="黑体" w:eastAsia="黑体" w:hint="eastAsia"/>
          <w:b w:val="0"/>
        </w:rPr>
        <w:t>附件</w:t>
      </w:r>
      <w:bookmarkEnd w:id="53"/>
    </w:p>
    <w:p w:rsidR="00FA1047" w:rsidRDefault="00FA1047">
      <w:pPr>
        <w:spacing w:line="572" w:lineRule="exact"/>
        <w:jc w:val="left"/>
        <w:outlineLvl w:val="0"/>
        <w:rPr>
          <w:rFonts w:ascii="仿宋_GB2312" w:eastAsia="仿宋_GB2312" w:cs="仿宋_GB2312"/>
          <w:sz w:val="32"/>
          <w:szCs w:val="32"/>
        </w:rPr>
      </w:pPr>
    </w:p>
    <w:p w:rsidR="00FA1047" w:rsidRDefault="00BE0974">
      <w:pPr>
        <w:spacing w:line="600" w:lineRule="exact"/>
        <w:jc w:val="center"/>
        <w:outlineLvl w:val="0"/>
        <w:rPr>
          <w:rFonts w:ascii="宋体" w:cs="宋体"/>
          <w:kern w:val="0"/>
          <w:sz w:val="32"/>
          <w:szCs w:val="32"/>
        </w:rPr>
      </w:pPr>
      <w:bookmarkStart w:id="54" w:name="_Toc15396618"/>
      <w:r>
        <w:rPr>
          <w:rFonts w:ascii="宋体" w:cs="宋体" w:hint="eastAsia"/>
          <w:kern w:val="0"/>
          <w:sz w:val="32"/>
          <w:szCs w:val="32"/>
        </w:rPr>
        <w:t>部门预算项目支出绩效自评表（</w:t>
      </w:r>
      <w:r>
        <w:rPr>
          <w:rFonts w:ascii="宋体" w:cs="宋体" w:hint="eastAsia"/>
          <w:kern w:val="0"/>
          <w:sz w:val="32"/>
          <w:szCs w:val="32"/>
        </w:rPr>
        <w:t>2022</w:t>
      </w:r>
      <w:r>
        <w:rPr>
          <w:rFonts w:ascii="宋体" w:cs="宋体" w:hint="eastAsia"/>
          <w:kern w:val="0"/>
          <w:sz w:val="32"/>
          <w:szCs w:val="32"/>
        </w:rPr>
        <w:t>年度）见附件</w:t>
      </w:r>
      <w:r>
        <w:rPr>
          <w:rFonts w:ascii="宋体" w:cs="宋体" w:hint="eastAsia"/>
          <w:kern w:val="0"/>
          <w:sz w:val="32"/>
          <w:szCs w:val="32"/>
        </w:rPr>
        <w:t>*</w:t>
      </w:r>
    </w:p>
    <w:p w:rsidR="00FA1047" w:rsidRDefault="00FA1047">
      <w:pPr>
        <w:spacing w:line="600" w:lineRule="exact"/>
        <w:jc w:val="left"/>
        <w:outlineLvl w:val="0"/>
        <w:rPr>
          <w:rFonts w:ascii="仿宋_GB2312" w:eastAsia="仿宋_GB2312" w:cs="仿宋"/>
          <w:kern w:val="0"/>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pStyle w:val="a0"/>
        <w:spacing w:beforeLines="0" w:before="93"/>
        <w:rPr>
          <w:rFonts w:cs="仿宋"/>
          <w:sz w:val="32"/>
          <w:szCs w:val="32"/>
        </w:rPr>
      </w:pPr>
    </w:p>
    <w:p w:rsidR="00FA1047" w:rsidRDefault="00FA1047">
      <w:pPr>
        <w:spacing w:line="600" w:lineRule="exact"/>
        <w:jc w:val="center"/>
        <w:outlineLvl w:val="0"/>
        <w:rPr>
          <w:rFonts w:ascii="黑体" w:eastAsia="黑体"/>
          <w:sz w:val="44"/>
          <w:szCs w:val="44"/>
        </w:rPr>
      </w:pPr>
    </w:p>
    <w:p w:rsidR="00FA1047" w:rsidRDefault="00FA1047">
      <w:pPr>
        <w:spacing w:line="600" w:lineRule="exact"/>
        <w:jc w:val="center"/>
        <w:outlineLvl w:val="0"/>
        <w:rPr>
          <w:rFonts w:ascii="黑体" w:eastAsia="黑体"/>
          <w:sz w:val="44"/>
          <w:szCs w:val="44"/>
        </w:rPr>
      </w:pPr>
    </w:p>
    <w:p w:rsidR="00FA1047" w:rsidRDefault="00FA1047">
      <w:pPr>
        <w:spacing w:line="600" w:lineRule="exact"/>
        <w:jc w:val="center"/>
        <w:outlineLvl w:val="0"/>
        <w:rPr>
          <w:rFonts w:ascii="黑体" w:eastAsia="黑体"/>
          <w:sz w:val="44"/>
          <w:szCs w:val="44"/>
        </w:rPr>
      </w:pPr>
    </w:p>
    <w:p w:rsidR="00FA1047" w:rsidRDefault="00FA1047">
      <w:pPr>
        <w:spacing w:line="600" w:lineRule="exact"/>
        <w:jc w:val="center"/>
        <w:outlineLvl w:val="0"/>
        <w:rPr>
          <w:rFonts w:ascii="黑体" w:eastAsia="黑体"/>
          <w:sz w:val="44"/>
          <w:szCs w:val="44"/>
        </w:rPr>
      </w:pPr>
    </w:p>
    <w:p w:rsidR="00FA1047" w:rsidRDefault="00BE0974">
      <w:pPr>
        <w:spacing w:line="600" w:lineRule="exact"/>
        <w:jc w:val="center"/>
        <w:outlineLvl w:val="0"/>
        <w:rPr>
          <w:rFonts w:ascii="仿宋" w:eastAsia="仿宋"/>
        </w:rPr>
      </w:pPr>
      <w:r>
        <w:rPr>
          <w:rFonts w:ascii="黑体" w:eastAsia="黑体" w:hint="eastAsia"/>
          <w:sz w:val="44"/>
          <w:szCs w:val="44"/>
        </w:rPr>
        <w:lastRenderedPageBreak/>
        <w:t>第</w:t>
      </w:r>
      <w:r>
        <w:rPr>
          <w:rStyle w:val="1Char"/>
          <w:rFonts w:ascii="黑体" w:eastAsia="黑体" w:hint="eastAsia"/>
          <w:b w:val="0"/>
        </w:rPr>
        <w:t>五部分</w:t>
      </w:r>
      <w:r>
        <w:rPr>
          <w:rStyle w:val="1Char"/>
          <w:rFonts w:ascii="黑体" w:eastAsia="黑体" w:hint="eastAsia"/>
          <w:b w:val="0"/>
        </w:rPr>
        <w:t xml:space="preserve"> </w:t>
      </w:r>
      <w:r>
        <w:rPr>
          <w:rStyle w:val="1Char"/>
          <w:rFonts w:ascii="黑体" w:eastAsia="黑体" w:hint="eastAsia"/>
          <w:b w:val="0"/>
        </w:rPr>
        <w:t>附表</w:t>
      </w:r>
      <w:bookmarkStart w:id="55" w:name="_Toc15396619"/>
      <w:bookmarkEnd w:id="52"/>
      <w:bookmarkEnd w:id="54"/>
    </w:p>
    <w:p w:rsidR="00FA1047" w:rsidRDefault="00FA1047">
      <w:pPr>
        <w:pStyle w:val="2"/>
        <w:rPr>
          <w:rFonts w:ascii="仿宋" w:eastAsia="仿宋"/>
          <w:b w:val="0"/>
        </w:rPr>
      </w:pPr>
    </w:p>
    <w:p w:rsidR="00FA1047" w:rsidRDefault="00BE0974">
      <w:pPr>
        <w:pStyle w:val="2"/>
        <w:rPr>
          <w:rFonts w:ascii="仿宋" w:eastAsia="仿宋"/>
        </w:rPr>
      </w:pPr>
      <w:r>
        <w:rPr>
          <w:rFonts w:ascii="仿宋" w:eastAsia="仿宋" w:hint="eastAsia"/>
          <w:b w:val="0"/>
        </w:rPr>
        <w:t>一、收</w:t>
      </w:r>
      <w:r>
        <w:rPr>
          <w:rStyle w:val="2Char"/>
          <w:rFonts w:ascii="仿宋" w:eastAsia="仿宋" w:hint="eastAsia"/>
        </w:rPr>
        <w:t>入支出决算总表</w:t>
      </w:r>
      <w:bookmarkEnd w:id="55"/>
    </w:p>
    <w:p w:rsidR="00FA1047" w:rsidRDefault="00BE0974">
      <w:pPr>
        <w:pStyle w:val="2"/>
        <w:rPr>
          <w:rFonts w:ascii="仿宋" w:eastAsia="仿宋"/>
        </w:rPr>
      </w:pPr>
      <w:bookmarkStart w:id="56" w:name="_Toc15396620"/>
      <w:r>
        <w:rPr>
          <w:rFonts w:ascii="仿宋" w:eastAsia="仿宋" w:hint="eastAsia"/>
          <w:b w:val="0"/>
        </w:rPr>
        <w:t>二、收</w:t>
      </w:r>
      <w:r>
        <w:rPr>
          <w:rStyle w:val="2Char"/>
          <w:rFonts w:ascii="仿宋" w:eastAsia="仿宋" w:hint="eastAsia"/>
        </w:rPr>
        <w:t>入决算表</w:t>
      </w:r>
      <w:bookmarkEnd w:id="56"/>
    </w:p>
    <w:p w:rsidR="00FA1047" w:rsidRDefault="00BE0974">
      <w:pPr>
        <w:pStyle w:val="2"/>
        <w:rPr>
          <w:rFonts w:ascii="仿宋" w:eastAsia="仿宋"/>
        </w:rPr>
      </w:pPr>
      <w:bookmarkStart w:id="57" w:name="_Toc15396621"/>
      <w:r>
        <w:rPr>
          <w:rStyle w:val="2Char"/>
          <w:rFonts w:ascii="仿宋" w:eastAsia="仿宋" w:hint="eastAsia"/>
        </w:rPr>
        <w:t>三、</w:t>
      </w:r>
      <w:r>
        <w:rPr>
          <w:rFonts w:ascii="仿宋" w:eastAsia="仿宋" w:hint="eastAsia"/>
          <w:b w:val="0"/>
        </w:rPr>
        <w:t>支</w:t>
      </w:r>
      <w:r>
        <w:rPr>
          <w:rStyle w:val="2Char"/>
          <w:rFonts w:ascii="仿宋" w:eastAsia="仿宋" w:hint="eastAsia"/>
        </w:rPr>
        <w:t>出决算表</w:t>
      </w:r>
      <w:bookmarkEnd w:id="57"/>
    </w:p>
    <w:p w:rsidR="00FA1047" w:rsidRDefault="00BE0974">
      <w:pPr>
        <w:pStyle w:val="2"/>
        <w:rPr>
          <w:rFonts w:ascii="仿宋" w:eastAsia="仿宋"/>
          <w:b w:val="0"/>
        </w:rPr>
      </w:pPr>
      <w:bookmarkStart w:id="58" w:name="_Toc15396622"/>
      <w:r>
        <w:rPr>
          <w:rStyle w:val="2Char"/>
          <w:rFonts w:ascii="仿宋" w:eastAsia="仿宋" w:hint="eastAsia"/>
        </w:rPr>
        <w:t>四、</w:t>
      </w:r>
      <w:r>
        <w:rPr>
          <w:rFonts w:ascii="仿宋" w:eastAsia="仿宋" w:hint="eastAsia"/>
          <w:b w:val="0"/>
        </w:rPr>
        <w:t>财</w:t>
      </w:r>
      <w:r>
        <w:rPr>
          <w:rStyle w:val="2Char"/>
          <w:rFonts w:ascii="仿宋" w:eastAsia="仿宋" w:hint="eastAsia"/>
        </w:rPr>
        <w:t>政拨款收入支出决算总表</w:t>
      </w:r>
      <w:bookmarkEnd w:id="58"/>
    </w:p>
    <w:p w:rsidR="00FA1047" w:rsidRDefault="00BE0974">
      <w:pPr>
        <w:pStyle w:val="2"/>
        <w:rPr>
          <w:rStyle w:val="2Char"/>
          <w:rFonts w:ascii="仿宋" w:eastAsia="仿宋"/>
        </w:rPr>
      </w:pPr>
      <w:bookmarkStart w:id="59" w:name="_Toc15396623"/>
      <w:r>
        <w:rPr>
          <w:rStyle w:val="2Char"/>
          <w:rFonts w:ascii="仿宋" w:eastAsia="仿宋" w:hint="eastAsia"/>
        </w:rPr>
        <w:t>五、</w:t>
      </w:r>
      <w:r>
        <w:rPr>
          <w:rFonts w:ascii="仿宋" w:eastAsia="仿宋" w:hint="eastAsia"/>
          <w:b w:val="0"/>
        </w:rPr>
        <w:t>财</w:t>
      </w:r>
      <w:r>
        <w:rPr>
          <w:rStyle w:val="2Char"/>
          <w:rFonts w:ascii="仿宋" w:eastAsia="仿宋" w:hint="eastAsia"/>
        </w:rPr>
        <w:t>政拨款支出决算明细表</w:t>
      </w:r>
      <w:bookmarkStart w:id="60" w:name="_Toc15396624"/>
      <w:bookmarkEnd w:id="59"/>
    </w:p>
    <w:p w:rsidR="00FA1047" w:rsidRDefault="00BE0974">
      <w:pPr>
        <w:pStyle w:val="2"/>
        <w:rPr>
          <w:rFonts w:ascii="仿宋" w:eastAsia="仿宋"/>
        </w:rPr>
      </w:pPr>
      <w:r>
        <w:rPr>
          <w:rStyle w:val="2Char"/>
          <w:rFonts w:ascii="仿宋" w:eastAsia="仿宋" w:hint="eastAsia"/>
        </w:rPr>
        <w:t>六、</w:t>
      </w:r>
      <w:r>
        <w:rPr>
          <w:rFonts w:ascii="仿宋" w:eastAsia="仿宋" w:hint="eastAsia"/>
          <w:b w:val="0"/>
        </w:rPr>
        <w:t>一</w:t>
      </w:r>
      <w:r>
        <w:rPr>
          <w:rStyle w:val="2Char"/>
          <w:rFonts w:ascii="仿宋" w:eastAsia="仿宋" w:hint="eastAsia"/>
        </w:rPr>
        <w:t>般公共预算财政拨款支出决算表</w:t>
      </w:r>
      <w:bookmarkEnd w:id="60"/>
    </w:p>
    <w:p w:rsidR="00FA1047" w:rsidRDefault="00BE0974">
      <w:pPr>
        <w:pStyle w:val="2"/>
        <w:rPr>
          <w:rFonts w:ascii="仿宋" w:eastAsia="仿宋"/>
        </w:rPr>
      </w:pPr>
      <w:bookmarkStart w:id="61" w:name="_Toc15396625"/>
      <w:r>
        <w:rPr>
          <w:rStyle w:val="2Char"/>
          <w:rFonts w:ascii="仿宋" w:eastAsia="仿宋" w:hint="eastAsia"/>
        </w:rPr>
        <w:t>七、</w:t>
      </w:r>
      <w:r>
        <w:rPr>
          <w:rFonts w:ascii="仿宋" w:eastAsia="仿宋" w:hint="eastAsia"/>
          <w:b w:val="0"/>
        </w:rPr>
        <w:t>一</w:t>
      </w:r>
      <w:r>
        <w:rPr>
          <w:rStyle w:val="2Char"/>
          <w:rFonts w:ascii="仿宋" w:eastAsia="仿宋" w:hint="eastAsia"/>
        </w:rPr>
        <w:t>般公共预算财政拨款支出决算明细表</w:t>
      </w:r>
      <w:bookmarkEnd w:id="61"/>
    </w:p>
    <w:p w:rsidR="00FA1047" w:rsidRDefault="00BE0974">
      <w:pPr>
        <w:pStyle w:val="2"/>
        <w:rPr>
          <w:rFonts w:ascii="仿宋" w:eastAsia="仿宋"/>
        </w:rPr>
      </w:pPr>
      <w:bookmarkStart w:id="62" w:name="_Toc15396626"/>
      <w:r>
        <w:rPr>
          <w:rStyle w:val="2Char"/>
          <w:rFonts w:ascii="仿宋" w:eastAsia="仿宋" w:hint="eastAsia"/>
        </w:rPr>
        <w:t>八、</w:t>
      </w:r>
      <w:r>
        <w:rPr>
          <w:rFonts w:ascii="仿宋" w:eastAsia="仿宋" w:hint="eastAsia"/>
          <w:b w:val="0"/>
        </w:rPr>
        <w:t>一</w:t>
      </w:r>
      <w:r>
        <w:rPr>
          <w:rStyle w:val="2Char"/>
          <w:rFonts w:ascii="仿宋" w:eastAsia="仿宋" w:hint="eastAsia"/>
        </w:rPr>
        <w:t>般公共预算财政拨款基本支出决算表</w:t>
      </w:r>
      <w:bookmarkEnd w:id="62"/>
    </w:p>
    <w:p w:rsidR="00FA1047" w:rsidRDefault="00BE0974">
      <w:pPr>
        <w:pStyle w:val="2"/>
        <w:rPr>
          <w:rFonts w:ascii="仿宋" w:eastAsia="仿宋"/>
        </w:rPr>
      </w:pPr>
      <w:bookmarkStart w:id="63" w:name="_Toc15396627"/>
      <w:r>
        <w:rPr>
          <w:rStyle w:val="2Char"/>
          <w:rFonts w:ascii="仿宋" w:eastAsia="仿宋" w:hint="eastAsia"/>
        </w:rPr>
        <w:t>九、</w:t>
      </w:r>
      <w:r>
        <w:rPr>
          <w:rFonts w:ascii="仿宋" w:eastAsia="仿宋" w:hint="eastAsia"/>
          <w:b w:val="0"/>
        </w:rPr>
        <w:t>一</w:t>
      </w:r>
      <w:r>
        <w:rPr>
          <w:rStyle w:val="2Char"/>
          <w:rFonts w:ascii="仿宋" w:eastAsia="仿宋" w:hint="eastAsia"/>
        </w:rPr>
        <w:t>般公共预算财政拨款项目支出决算表</w:t>
      </w:r>
      <w:bookmarkEnd w:id="63"/>
    </w:p>
    <w:p w:rsidR="00FA1047" w:rsidRDefault="00BE0974">
      <w:pPr>
        <w:pStyle w:val="2"/>
        <w:rPr>
          <w:rFonts w:ascii="仿宋" w:eastAsia="仿宋"/>
        </w:rPr>
      </w:pPr>
      <w:bookmarkStart w:id="64" w:name="_Toc15396628"/>
      <w:r>
        <w:rPr>
          <w:rStyle w:val="2Char"/>
          <w:rFonts w:ascii="仿宋" w:eastAsia="仿宋" w:hint="eastAsia"/>
        </w:rPr>
        <w:t>十、</w:t>
      </w:r>
      <w:bookmarkEnd w:id="64"/>
      <w:r>
        <w:rPr>
          <w:rFonts w:ascii="仿宋" w:eastAsia="仿宋" w:hint="eastAsia"/>
          <w:b w:val="0"/>
        </w:rPr>
        <w:t>政</w:t>
      </w:r>
      <w:r>
        <w:rPr>
          <w:rStyle w:val="2Char"/>
          <w:rFonts w:ascii="仿宋" w:eastAsia="仿宋" w:hint="eastAsia"/>
        </w:rPr>
        <w:t>府性基金预算财政拨款收入支出决算表</w:t>
      </w:r>
    </w:p>
    <w:p w:rsidR="00FA1047" w:rsidRDefault="00BE0974">
      <w:pPr>
        <w:pStyle w:val="2"/>
        <w:rPr>
          <w:rFonts w:ascii="仿宋" w:eastAsia="仿宋"/>
        </w:rPr>
      </w:pPr>
      <w:bookmarkStart w:id="65" w:name="_Toc15396629"/>
      <w:r>
        <w:rPr>
          <w:rStyle w:val="2Char"/>
          <w:rFonts w:ascii="仿宋" w:eastAsia="仿宋" w:hint="eastAsia"/>
        </w:rPr>
        <w:t>十一、</w:t>
      </w:r>
      <w:bookmarkEnd w:id="65"/>
      <w:r>
        <w:rPr>
          <w:rFonts w:ascii="仿宋" w:eastAsia="仿宋" w:hint="eastAsia"/>
          <w:b w:val="0"/>
        </w:rPr>
        <w:t>国</w:t>
      </w:r>
      <w:r>
        <w:rPr>
          <w:rStyle w:val="2Char"/>
          <w:rFonts w:ascii="仿宋" w:eastAsia="仿宋" w:hint="eastAsia"/>
        </w:rPr>
        <w:t>有资本经营预算财政拨款收入支出决算表</w:t>
      </w:r>
    </w:p>
    <w:p w:rsidR="00FA1047" w:rsidRDefault="00BE0974">
      <w:pPr>
        <w:pStyle w:val="2"/>
        <w:rPr>
          <w:rFonts w:ascii="仿宋" w:eastAsia="仿宋"/>
        </w:rPr>
      </w:pPr>
      <w:bookmarkStart w:id="66" w:name="_Toc15396630"/>
      <w:r>
        <w:rPr>
          <w:rStyle w:val="2Char"/>
          <w:rFonts w:ascii="仿宋" w:eastAsia="仿宋" w:hint="eastAsia"/>
        </w:rPr>
        <w:t>十二、</w:t>
      </w:r>
      <w:bookmarkEnd w:id="66"/>
      <w:r>
        <w:rPr>
          <w:rStyle w:val="2Char"/>
          <w:rFonts w:ascii="仿宋" w:eastAsia="仿宋" w:hint="eastAsia"/>
        </w:rPr>
        <w:t>国有资本经营预算财政拨款支出决算表</w:t>
      </w:r>
    </w:p>
    <w:p w:rsidR="00FA1047" w:rsidRDefault="00BE0974">
      <w:pPr>
        <w:pStyle w:val="2"/>
        <w:rPr>
          <w:rFonts w:eastAsia="仿宋"/>
        </w:rPr>
      </w:pPr>
      <w:bookmarkStart w:id="67" w:name="_Toc15396631"/>
      <w:r>
        <w:rPr>
          <w:rStyle w:val="2Char"/>
          <w:rFonts w:ascii="仿宋" w:eastAsia="仿宋" w:hint="eastAsia"/>
        </w:rPr>
        <w:t>十三、</w:t>
      </w:r>
      <w:bookmarkEnd w:id="67"/>
      <w:r>
        <w:rPr>
          <w:rStyle w:val="2Char"/>
          <w:rFonts w:ascii="仿宋" w:eastAsia="仿宋" w:hint="eastAsia"/>
        </w:rPr>
        <w:t>财政拨款“三公”经费支出决算表</w:t>
      </w:r>
    </w:p>
    <w:sectPr w:rsidR="00FA1047">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74" w:rsidRDefault="00BE0974">
      <w:r>
        <w:separator/>
      </w:r>
    </w:p>
  </w:endnote>
  <w:endnote w:type="continuationSeparator" w:id="0">
    <w:p w:rsidR="00BE0974" w:rsidRDefault="00BE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Arial Unicode MS"/>
    <w:panose1 w:val="02010609060101010101"/>
    <w:charset w:val="86"/>
    <w:family w:val="modern"/>
    <w:notTrueType/>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977503"/>
    </w:sdtPr>
    <w:sdtEndPr/>
    <w:sdtContent>
      <w:p w:rsidR="00FA1047" w:rsidRDefault="00BE0974">
        <w:pPr>
          <w:pStyle w:val="a5"/>
          <w:jc w:val="center"/>
        </w:pPr>
        <w:r>
          <w:fldChar w:fldCharType="begin"/>
        </w:r>
        <w:r>
          <w:instrText>PAGE   \* MERGEFORMAT</w:instrText>
        </w:r>
        <w:r>
          <w:fldChar w:fldCharType="separate"/>
        </w:r>
        <w:r w:rsidR="00DD251B" w:rsidRPr="00DD251B">
          <w:rPr>
            <w:noProof/>
            <w:lang w:val="zh-CN"/>
          </w:rPr>
          <w:t>2</w:t>
        </w:r>
        <w:r>
          <w:fldChar w:fldCharType="end"/>
        </w:r>
      </w:p>
    </w:sdtContent>
  </w:sdt>
  <w:p w:rsidR="00FA1047" w:rsidRDefault="00FA10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74" w:rsidRDefault="00BE0974">
      <w:r>
        <w:separator/>
      </w:r>
    </w:p>
  </w:footnote>
  <w:footnote w:type="continuationSeparator" w:id="0">
    <w:p w:rsidR="00BE0974" w:rsidRDefault="00BE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47" w:rsidRDefault="00FA104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lvlRestart w:val="0"/>
      <w:suff w:val="nothing"/>
      <w:lvlText w:val="%1、"/>
      <w:lvlJc w:val="left"/>
      <w:pPr>
        <w:tabs>
          <w:tab w:val="num" w:pos="0"/>
        </w:tabs>
        <w:ind w:left="0" w:firstLine="0"/>
      </w:pPr>
      <w:rPr>
        <w:rFonts w:hint="eastAsia"/>
      </w:rPr>
    </w:lvl>
  </w:abstractNum>
  <w:abstractNum w:abstractNumId="1">
    <w:nsid w:val="E2FA047D"/>
    <w:multiLevelType w:val="singleLevel"/>
    <w:tmpl w:val="E2FA047D"/>
    <w:lvl w:ilvl="0">
      <w:start w:val="3"/>
      <w:numFmt w:val="chineseCounting"/>
      <w:lvlRestart w:val="0"/>
      <w:suff w:val="space"/>
      <w:lvlText w:val="第%1部分"/>
      <w:lvlJc w:val="left"/>
      <w:pPr>
        <w:tabs>
          <w:tab w:val="num" w:pos="0"/>
        </w:tabs>
        <w:ind w:left="0" w:firstLine="0"/>
      </w:pPr>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3">
    <w:nsid w:val="3818A09A"/>
    <w:multiLevelType w:val="singleLevel"/>
    <w:tmpl w:val="3818A09A"/>
    <w:lvl w:ilvl="0">
      <w:start w:val="1"/>
      <w:numFmt w:val="chineseCounting"/>
      <w:lvlRestart w:val="0"/>
      <w:suff w:val="nothing"/>
      <w:lvlText w:val="%1、"/>
      <w:lvlJc w:val="left"/>
      <w:pPr>
        <w:tabs>
          <w:tab w:val="num" w:pos="0"/>
        </w:tabs>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WI1NDYxOWQ3Yzk5YzQzMDUyYzljZWI5YTUxMGEzOTUifQ=="/>
  </w:docVars>
  <w:rsids>
    <w:rsidRoot w:val="00FA1047"/>
    <w:rsid w:val="00BE0974"/>
    <w:rsid w:val="00DD251B"/>
    <w:rsid w:val="00FA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line="372" w:lineRule="auto"/>
      <w:outlineLvl w:val="3"/>
    </w:pPr>
    <w:rPr>
      <w:rFonts w:ascii="Arial" w:eastAsia="黑体" w:hAnsi="Arial"/>
      <w:b/>
      <w:sz w:val="28"/>
    </w:rPr>
  </w:style>
  <w:style w:type="paragraph" w:styleId="5">
    <w:name w:val="heading 5"/>
    <w:basedOn w:val="a"/>
    <w:next w:val="a"/>
    <w:pPr>
      <w:keepNext/>
      <w:keepLines/>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60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6091"/>
      <w:kern w:val="0"/>
      <w:sz w:val="28"/>
      <w:szCs w:val="28"/>
    </w:rPr>
  </w:style>
  <w:style w:type="paragraph" w:customStyle="1" w:styleId="11">
    <w:name w:val="样式1"/>
    <w:basedOn w:val="a"/>
    <w:next w:val="a"/>
    <w:pPr>
      <w:keepNext/>
      <w:keepLines/>
      <w:spacing w:before="260" w:after="260" w:line="415" w:lineRule="auto"/>
      <w:jc w:val="center"/>
      <w:outlineLvl w:val="2"/>
    </w:pPr>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pPr>
      <w:widowControl w:val="0"/>
      <w:jc w:val="both"/>
    </w:pPr>
    <w:rPr>
      <w:kern w:val="2"/>
      <w:sz w:val="21"/>
      <w:szCs w:val="24"/>
    </w:rPr>
  </w:style>
  <w:style w:type="paragraph" w:styleId="1">
    <w:name w:val="heading 1"/>
    <w:basedOn w:val="a"/>
    <w:next w:val="a"/>
    <w:link w:val="1Char"/>
    <w:pPr>
      <w:keepNext/>
      <w:keepLines/>
      <w:spacing w:before="340" w:after="330" w:line="578" w:lineRule="auto"/>
      <w:outlineLvl w:val="0"/>
    </w:pPr>
    <w:rPr>
      <w:b/>
      <w:bCs/>
      <w:kern w:val="44"/>
      <w:sz w:val="44"/>
      <w:szCs w:val="44"/>
    </w:rPr>
  </w:style>
  <w:style w:type="paragraph" w:styleId="2">
    <w:name w:val="heading 2"/>
    <w:basedOn w:val="a"/>
    <w:next w:val="a"/>
    <w:link w:val="2Char"/>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bCs/>
      <w:sz w:val="32"/>
      <w:szCs w:val="32"/>
    </w:rPr>
  </w:style>
  <w:style w:type="paragraph" w:styleId="4">
    <w:name w:val="heading 4"/>
    <w:basedOn w:val="a"/>
    <w:next w:val="a"/>
    <w:pPr>
      <w:keepNext/>
      <w:keepLines/>
      <w:spacing w:line="372" w:lineRule="auto"/>
      <w:outlineLvl w:val="3"/>
    </w:pPr>
    <w:rPr>
      <w:rFonts w:ascii="Arial" w:eastAsia="黑体" w:hAnsi="Arial"/>
      <w:b/>
      <w:sz w:val="28"/>
    </w:rPr>
  </w:style>
  <w:style w:type="paragraph" w:styleId="5">
    <w:name w:val="heading 5"/>
    <w:basedOn w:val="a"/>
    <w:next w:val="a"/>
    <w:pPr>
      <w:keepNext/>
      <w:keepLines/>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Pr>
      <w:rFonts w:ascii="Times New Roman" w:eastAsia="宋体" w:hAnsi="Times New Roman" w:cs="Times New Roman"/>
      <w:b/>
      <w:bCs/>
      <w:kern w:val="44"/>
      <w:sz w:val="44"/>
      <w:szCs w:val="44"/>
      <w:lang w:val="en-US" w:eastAsia="zh-CN" w:bidi="ar-SA"/>
    </w:rPr>
  </w:style>
  <w:style w:type="character" w:customStyle="1" w:styleId="2Char">
    <w:name w:val="标题 2 Char"/>
    <w:basedOn w:val="a1"/>
    <w:link w:val="2"/>
    <w:rPr>
      <w:rFonts w:ascii="Cambria" w:eastAsia="宋体" w:hAnsi="Cambria" w:cs="Times New Roman"/>
      <w:b/>
      <w:bCs/>
      <w:kern w:val="2"/>
      <w:sz w:val="32"/>
      <w:szCs w:val="32"/>
      <w:lang w:val="en-US" w:eastAsia="zh-CN" w:bidi="ar-SA"/>
    </w:rPr>
  </w:style>
  <w:style w:type="paragraph" w:styleId="a0">
    <w:name w:val="Body Text"/>
    <w:basedOn w:val="a"/>
    <w:pPr>
      <w:spacing w:beforeLines="30" w:before="30"/>
    </w:pPr>
    <w:rPr>
      <w:rFonts w:ascii="仿宋_GB2312" w:eastAsia="仿宋_GB2312"/>
      <w:kern w:val="0"/>
      <w:sz w:val="30"/>
    </w:rPr>
  </w:style>
  <w:style w:type="paragraph" w:styleId="30">
    <w:name w:val="toc 3"/>
    <w:basedOn w:val="a"/>
    <w:next w:val="a"/>
    <w:pPr>
      <w:tabs>
        <w:tab w:val="right" w:leader="dot" w:pos="8296"/>
      </w:tabs>
      <w:ind w:leftChars="400" w:left="400"/>
    </w:pPr>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rFonts w:ascii="Calibri" w:hAnsi="Calibri"/>
      <w:kern w:val="0"/>
      <w:sz w:val="18"/>
      <w:szCs w:val="18"/>
    </w:rPr>
  </w:style>
  <w:style w:type="paragraph" w:styleId="a6">
    <w:name w:val="header"/>
    <w:basedOn w:val="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pPr>
      <w:tabs>
        <w:tab w:val="right" w:leader="dot" w:pos="8296"/>
      </w:tabs>
      <w:spacing w:before="93"/>
      <w:jc w:val="center"/>
    </w:pPr>
    <w:rPr>
      <w:rFonts w:ascii="仿宋" w:eastAsia="仿宋"/>
      <w:sz w:val="28"/>
      <w:szCs w:val="28"/>
    </w:rPr>
  </w:style>
  <w:style w:type="paragraph" w:styleId="20">
    <w:name w:val="toc 2"/>
    <w:basedOn w:val="a"/>
    <w:next w:val="a"/>
    <w:pPr>
      <w:tabs>
        <w:tab w:val="right" w:leader="dot" w:pos="8296"/>
      </w:tabs>
      <w:ind w:leftChars="200" w:left="200"/>
    </w:pPr>
  </w:style>
  <w:style w:type="character" w:styleId="a7">
    <w:name w:val="Strong"/>
    <w:basedOn w:val="a1"/>
    <w:rPr>
      <w:b/>
    </w:rPr>
  </w:style>
  <w:style w:type="character" w:styleId="a8">
    <w:name w:val="Hyperlink"/>
    <w:basedOn w:val="a1"/>
    <w:rPr>
      <w:color w:val="0000FF"/>
      <w:u w:val="single"/>
    </w:rPr>
  </w:style>
  <w:style w:type="character" w:customStyle="1" w:styleId="HeaderChar">
    <w:name w:val="Header Char"/>
    <w:basedOn w:val="a1"/>
    <w:rPr>
      <w:rFonts w:ascii="Times New Roman" w:hAnsi="Times New Roman"/>
      <w:sz w:val="18"/>
      <w:szCs w:val="18"/>
    </w:rPr>
  </w:style>
  <w:style w:type="character" w:customStyle="1" w:styleId="FooterChar">
    <w:name w:val="Footer Char"/>
    <w:basedOn w:val="a1"/>
    <w:rPr>
      <w:rFonts w:ascii="Times New Roman" w:hAnsi="Times New Roman"/>
      <w:sz w:val="18"/>
      <w:szCs w:val="18"/>
    </w:rPr>
  </w:style>
  <w:style w:type="character" w:customStyle="1" w:styleId="BodyTextChar">
    <w:name w:val="Body Text Char"/>
    <w:basedOn w:val="a1"/>
    <w:rPr>
      <w:rFonts w:ascii="Times New Roman" w:hAnsi="Times New Roman"/>
      <w:szCs w:val="24"/>
    </w:rPr>
  </w:style>
  <w:style w:type="paragraph" w:customStyle="1" w:styleId="Default">
    <w:name w:val="Default"/>
    <w:pPr>
      <w:widowControl w:val="0"/>
      <w:autoSpaceDE w:val="0"/>
      <w:autoSpaceDN w:val="0"/>
      <w:adjustRightInd w:val="0"/>
    </w:pPr>
    <w:rPr>
      <w:rFonts w:ascii="仿宋" w:eastAsia="仿宋" w:cs="仿宋"/>
      <w:color w:val="000000"/>
      <w:sz w:val="24"/>
      <w:szCs w:val="24"/>
    </w:rPr>
  </w:style>
  <w:style w:type="paragraph" w:styleId="a9">
    <w:name w:val="List Paragraph"/>
    <w:basedOn w:val="a"/>
    <w:pPr>
      <w:ind w:firstLineChars="200" w:firstLine="200"/>
    </w:pPr>
  </w:style>
  <w:style w:type="paragraph" w:customStyle="1" w:styleId="TOC1">
    <w:name w:val="TOC 标题1"/>
    <w:basedOn w:val="1"/>
    <w:next w:val="a"/>
    <w:pPr>
      <w:widowControl/>
      <w:spacing w:before="480" w:after="0" w:line="276" w:lineRule="auto"/>
      <w:jc w:val="left"/>
      <w:outlineLvl w:val="9"/>
    </w:pPr>
    <w:rPr>
      <w:rFonts w:ascii="Cambria" w:hAnsi="Cambria"/>
      <w:color w:val="366091"/>
      <w:kern w:val="0"/>
      <w:sz w:val="28"/>
      <w:szCs w:val="28"/>
    </w:rPr>
  </w:style>
  <w:style w:type="paragraph" w:customStyle="1" w:styleId="TOC2">
    <w:name w:val="TOC 标题2"/>
    <w:basedOn w:val="1"/>
    <w:next w:val="a"/>
    <w:pPr>
      <w:widowControl/>
      <w:spacing w:before="480" w:after="0" w:line="276" w:lineRule="auto"/>
      <w:jc w:val="left"/>
      <w:outlineLvl w:val="9"/>
    </w:pPr>
    <w:rPr>
      <w:rFonts w:ascii="Cambria" w:hAnsi="Cambria"/>
      <w:color w:val="366091"/>
      <w:kern w:val="0"/>
      <w:sz w:val="28"/>
      <w:szCs w:val="28"/>
    </w:rPr>
  </w:style>
  <w:style w:type="paragraph" w:customStyle="1" w:styleId="11">
    <w:name w:val="样式1"/>
    <w:basedOn w:val="a"/>
    <w:next w:val="a"/>
    <w:pPr>
      <w:keepNext/>
      <w:keepLines/>
      <w:spacing w:before="260" w:after="260" w:line="415" w:lineRule="auto"/>
      <w:jc w:val="center"/>
      <w:outlineLvl w:val="2"/>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sz="1800" b="1" i="0" u="none" strike="noStrike" baseline="0">
                <a:solidFill>
                  <a:srgbClr val="000000"/>
                </a:solidFill>
                <a:latin typeface="方正兰亭黑_GBK"/>
                <a:ea typeface="方正兰亭黑_GBK"/>
                <a:cs typeface="Lucida Sans"/>
              </a:rPr>
              <a:t>2021年、2022年收、支决算总计变动情况图</a:t>
            </a:r>
          </a:p>
        </c:rich>
      </c:tx>
      <c:layout>
        <c:manualLayout>
          <c:xMode val="edge"/>
          <c:yMode val="edge"/>
          <c:x val="0.10843994999999999"/>
          <c:y val="3.2042723000000002E-2"/>
        </c:manualLayout>
      </c:layout>
      <c:overlay val="0"/>
      <c:spPr>
        <a:ln>
          <a:noFill/>
        </a:ln>
      </c:spPr>
    </c:title>
    <c:autoTitleDeleted val="0"/>
    <c:plotArea>
      <c:layout>
        <c:manualLayout>
          <c:layoutTarget val="inner"/>
          <c:xMode val="edge"/>
          <c:yMode val="edge"/>
          <c:x val="3.3015299999999997E-2"/>
          <c:y val="0.37257509999999999"/>
          <c:w val="0.94086020000000004"/>
          <c:h val="0.50619656000000002"/>
        </c:manualLayout>
      </c:layout>
      <c:barChart>
        <c:barDir val="col"/>
        <c:grouping val="clustered"/>
        <c:varyColors val="0"/>
        <c:ser>
          <c:idx val="0"/>
          <c:order val="0"/>
          <c:tx>
            <c:strRef>
              <c:f>'Sheet1'!$B$1</c:f>
              <c:strCache>
                <c:ptCount val="1"/>
                <c:pt idx="0">
                  <c:v>2021</c:v>
                </c:pt>
              </c:strCache>
            </c:strRef>
          </c:tx>
          <c:spPr>
            <a:solidFill>
              <a:srgbClr val="4F81B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'Sheet1'!$A$2:$A$3</c:f>
              <c:strCache>
                <c:ptCount val="2"/>
                <c:pt idx="0">
                  <c:v>总收入（万元）</c:v>
                </c:pt>
                <c:pt idx="1">
                  <c:v>总支出（万元）</c:v>
                </c:pt>
              </c:strCache>
            </c:strRef>
          </c:cat>
          <c:val>
            <c:numRef>
              <c:f>'Sheet1'!$B$2:$B$3</c:f>
              <c:numCache>
                <c:formatCode>General</c:formatCode>
                <c:ptCount val="2"/>
                <c:pt idx="0">
                  <c:v>7497.07</c:v>
                </c:pt>
                <c:pt idx="1">
                  <c:v>7497.07</c:v>
                </c:pt>
              </c:numCache>
            </c:numRef>
          </c:val>
        </c:ser>
        <c:ser>
          <c:idx val="1"/>
          <c:order val="1"/>
          <c:tx>
            <c:strRef>
              <c:f>'Sheet1'!$C$1</c:f>
              <c:strCache>
                <c:ptCount val="1"/>
                <c:pt idx="0">
                  <c:v>2022</c:v>
                </c:pt>
              </c:strCache>
            </c:strRef>
          </c:tx>
          <c:spPr>
            <a:solidFill>
              <a:srgbClr val="C0504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'Sheet1'!$A$2:$A$3</c:f>
              <c:strCache>
                <c:ptCount val="2"/>
                <c:pt idx="0">
                  <c:v>总收入（万元）</c:v>
                </c:pt>
                <c:pt idx="1">
                  <c:v>总支出（万元）</c:v>
                </c:pt>
              </c:strCache>
            </c:strRef>
          </c:cat>
          <c:val>
            <c:numRef>
              <c:f>'Sheet1'!$C$2:$C$3</c:f>
              <c:numCache>
                <c:formatCode>General</c:formatCode>
                <c:ptCount val="2"/>
                <c:pt idx="0">
                  <c:v>7258.97</c:v>
                </c:pt>
                <c:pt idx="1">
                  <c:v>7258.97</c:v>
                </c:pt>
              </c:numCache>
            </c:numRef>
          </c:val>
        </c:ser>
        <c:dLbls>
          <c:showLegendKey val="0"/>
          <c:showVal val="0"/>
          <c:showCatName val="0"/>
          <c:showSerName val="0"/>
          <c:showPercent val="0"/>
          <c:showBubbleSize val="0"/>
        </c:dLbls>
        <c:gapWidth val="150"/>
        <c:overlap val="-25"/>
        <c:axId val="203559296"/>
        <c:axId val="203560832"/>
      </c:barChart>
      <c:catAx>
        <c:axId val="203559296"/>
        <c:scaling>
          <c:orientation val="minMax"/>
        </c:scaling>
        <c:delete val="0"/>
        <c:axPos val="b"/>
        <c:numFmt formatCode="General" sourceLinked="1"/>
        <c:majorTickMark val="none"/>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203560832"/>
        <c:crosses val="autoZero"/>
        <c:auto val="1"/>
        <c:lblAlgn val="ctr"/>
        <c:lblOffset val="100"/>
        <c:noMultiLvlLbl val="0"/>
      </c:catAx>
      <c:valAx>
        <c:axId val="203560832"/>
        <c:scaling>
          <c:orientation val="minMax"/>
        </c:scaling>
        <c:delete val="1"/>
        <c:axPos val="l"/>
        <c:numFmt formatCode="General" sourceLinked="1"/>
        <c:majorTickMark val="none"/>
        <c:minorTickMark val="none"/>
        <c:tickLblPos val="none"/>
        <c:crossAx val="203559296"/>
        <c:crossesAt val="1"/>
        <c:crossBetween val="between"/>
      </c:valAx>
      <c:spPr>
        <a:solidFill>
          <a:srgbClr val="FFFFFF"/>
        </a:solidFill>
      </c:spPr>
    </c:plotArea>
    <c:legend>
      <c:legendPos val="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ln w="6350">
      <a:solidFill>
        <a:srgbClr val="868686"/>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(2)'!$B$1</c:f>
              <c:strCache>
                <c:ptCount val="1"/>
                <c:pt idx="0">
                  <c:v>2022年收入决算结构图
</c:v>
                </c:pt>
              </c:strCache>
            </c:strRef>
          </c:tx>
          <c:spPr>
            <a:solidFill>
              <a:srgbClr val="4F81BD"/>
            </a:solidFill>
          </c:spPr>
          <c:dPt>
            <c:idx val="0"/>
            <c:bubble3D val="0"/>
            <c:spPr>
              <a:gradFill rotWithShape="1">
                <a:gsLst>
                  <a:gs pos="0">
                    <a:srgbClr val="2C5D98">
                      <a:alpha val="100000"/>
                    </a:srgbClr>
                  </a:gs>
                  <a:gs pos="80000">
                    <a:srgbClr val="3C7BC7">
                      <a:alpha val="100000"/>
                    </a:srgbClr>
                  </a:gs>
                  <a:gs pos="100000">
                    <a:srgbClr val="3A7CCB">
                      <a:alpha val="100000"/>
                    </a:srgbClr>
                  </a:gs>
                </a:gsLst>
                <a:lin ang="16200000" scaled="1"/>
              </a:gradFill>
              <a:ln>
                <a:noFill/>
              </a:ln>
              <a:effectLst>
                <a:outerShdw dist="35921" dir="2700000" algn="br">
                  <a:srgbClr val="000000"/>
                </a:outerShdw>
              </a:effectLst>
            </c:spPr>
          </c:dPt>
          <c:dPt>
            <c:idx val="1"/>
            <c:bubble3D val="0"/>
            <c:spPr>
              <a:gradFill rotWithShape="1">
                <a:gsLst>
                  <a:gs pos="0">
                    <a:srgbClr val="9B2D2A">
                      <a:alpha val="100000"/>
                    </a:srgbClr>
                  </a:gs>
                  <a:gs pos="80000">
                    <a:srgbClr val="CB3D3A">
                      <a:alpha val="100000"/>
                    </a:srgbClr>
                  </a:gs>
                  <a:gs pos="100000">
                    <a:srgbClr val="CE3B37">
                      <a:alpha val="100000"/>
                    </a:srgbClr>
                  </a:gs>
                </a:gsLst>
                <a:lin ang="16200000" scaled="1"/>
              </a:gradFill>
              <a:ln>
                <a:noFill/>
              </a:ln>
              <a:effectLst>
                <a:outerShdw dist="35921" dir="2700000" algn="br">
                  <a:srgbClr val="000000"/>
                </a:outerShdw>
              </a:effectLst>
            </c:spPr>
          </c:dPt>
          <c:dPt>
            <c:idx val="2"/>
            <c:bubble3D val="0"/>
            <c:spPr>
              <a:gradFill rotWithShape="1">
                <a:gsLst>
                  <a:gs pos="0">
                    <a:srgbClr val="769535">
                      <a:alpha val="100000"/>
                    </a:srgbClr>
                  </a:gs>
                  <a:gs pos="80000">
                    <a:srgbClr val="9BC348">
                      <a:alpha val="100000"/>
                    </a:srgbClr>
                  </a:gs>
                  <a:gs pos="100000">
                    <a:srgbClr val="9CC746">
                      <a:alpha val="100000"/>
                    </a:srgbClr>
                  </a:gs>
                </a:gsLst>
                <a:lin ang="16200000" scaled="1"/>
              </a:gradFill>
              <a:ln>
                <a:noFill/>
              </a:ln>
              <a:effectLst>
                <a:outerShdw dist="35921" dir="2700000" algn="br">
                  <a:srgbClr val="000000"/>
                </a:outerShdw>
              </a:effectLst>
            </c:spPr>
          </c:dPt>
          <c:dPt>
            <c:idx val="3"/>
            <c:bubble3D val="0"/>
            <c:spPr>
              <a:gradFill rotWithShape="1">
                <a:gsLst>
                  <a:gs pos="0">
                    <a:srgbClr val="5D417E">
                      <a:alpha val="100000"/>
                    </a:srgbClr>
                  </a:gs>
                  <a:gs pos="80000">
                    <a:srgbClr val="7B58A6">
                      <a:alpha val="100000"/>
                    </a:srgbClr>
                  </a:gs>
                  <a:gs pos="100000">
                    <a:srgbClr val="7B57A8">
                      <a:alpha val="100000"/>
                    </a:srgbClr>
                  </a:gs>
                </a:gsLst>
                <a:lin ang="16200000" scaled="1"/>
              </a:gradFill>
              <a:ln>
                <a:noFill/>
              </a:ln>
              <a:effectLst>
                <a:outerShdw dist="35921" dir="2700000" algn="br">
                  <a:srgbClr val="000000"/>
                </a:outerShdw>
              </a:effectLst>
            </c:spPr>
          </c:dPt>
          <c:cat>
            <c:strRef>
              <c:f>'Sheet1 (2)'!$A$2:$A$5</c:f>
              <c:strCache>
                <c:ptCount val="4"/>
                <c:pt idx="0">
                  <c:v>一般公共预算财政拨款收入100%
</c:v>
                </c:pt>
              </c:strCache>
            </c:strRef>
          </c:cat>
          <c:val>
            <c:numRef>
              <c:f>'Sheet1 (2)'!$B$2:$B$5</c:f>
              <c:numCache>
                <c:formatCode>General</c:formatCode>
                <c:ptCount val="4"/>
                <c:pt idx="0" formatCode="0%">
                  <c:v>1</c:v>
                </c:pt>
              </c:numCache>
            </c:numRef>
          </c:val>
        </c:ser>
        <c:dLbls>
          <c:showLegendKey val="0"/>
          <c:showVal val="0"/>
          <c:showCatName val="0"/>
          <c:showSerName val="0"/>
          <c:showPercent val="0"/>
          <c:showBubbleSize val="0"/>
          <c:showLeaderLines val="0"/>
        </c:dLbls>
        <c:firstSliceAng val="0"/>
      </c:pieChart>
      <c:spPr>
        <a:noFill/>
        <a:ln>
          <a:noFill/>
        </a:ln>
      </c:spPr>
    </c:plotArea>
    <c:legend>
      <c:legendPos val="b"/>
      <c:legendEntry>
        <c:idx val="1"/>
        <c:delete val="1"/>
      </c:legendEntry>
      <c:legendEntry>
        <c:idx val="2"/>
        <c:delete val="1"/>
      </c:legendEntry>
      <c:legendEntry>
        <c:idx val="3"/>
        <c:delete val="1"/>
      </c:legendEntry>
      <c:overlay val="0"/>
      <c:spPr>
        <a:noFill/>
        <a:ln>
          <a:noFill/>
        </a:ln>
      </c:spPr>
      <c:txPr>
        <a:bodyPr/>
        <a:lstStyle/>
        <a:p>
          <a:pPr>
            <a:defRPr sz="900" b="0" i="0" u="none" strike="noStrike" baseline="0">
              <a:solidFill>
                <a:srgbClr val="595959"/>
              </a:solidFill>
              <a:latin typeface="方正兰亭黑_GBK"/>
              <a:ea typeface="方正兰亭黑_GBK"/>
              <a:cs typeface="Lucida Sans"/>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cap="all" baseline="0">
                <a:solidFill>
                  <a:srgbClr val="000000"/>
                </a:solidFill>
                <a:latin typeface="方正兰亭黑_GBK"/>
                <a:ea typeface="方正兰亭黑_GBK"/>
                <a:cs typeface="Lucida Sans"/>
              </a:defRPr>
            </a:pPr>
            <a:r>
              <a:rPr lang="zh-CN"/>
              <a:t>2022年支出决算结构图</a:t>
            </a:r>
          </a:p>
        </c:rich>
      </c:tx>
      <c:overlay val="0"/>
      <c:spPr>
        <a:noFill/>
        <a:ln>
          <a:noFill/>
        </a:ln>
      </c:spPr>
    </c:title>
    <c:autoTitleDeleted val="0"/>
    <c:plotArea>
      <c:layout>
        <c:manualLayout>
          <c:layoutTarget val="inner"/>
          <c:xMode val="edge"/>
          <c:yMode val="edge"/>
          <c:x val="0.28224485999999999"/>
          <c:y val="0.27625418000000002"/>
          <c:w val="0.34709839999999997"/>
          <c:h val="0.63812709999999995"/>
        </c:manualLayout>
      </c:layout>
      <c:pieChart>
        <c:varyColors val="1"/>
        <c:ser>
          <c:idx val="0"/>
          <c:order val="0"/>
          <c:tx>
            <c:strRef>
              <c:f>'Sheet1 (3)'!$B$1</c:f>
              <c:strCache>
                <c:ptCount val="1"/>
                <c:pt idx="0">
                  <c:v>2022年支出决算机构图</c:v>
                </c:pt>
              </c:strCache>
            </c:strRef>
          </c:tx>
          <c:spPr>
            <a:solidFill>
              <a:srgbClr val="4F81BD"/>
            </a:solidFill>
          </c:spPr>
          <c:dPt>
            <c:idx val="0"/>
            <c:bubble3D val="0"/>
            <c:spPr>
              <a:solidFill>
                <a:srgbClr val="4F81BD"/>
              </a:solidFill>
              <a:ln>
                <a:noFill/>
              </a:ln>
            </c:spPr>
          </c:dPt>
          <c:dPt>
            <c:idx val="1"/>
            <c:bubble3D val="0"/>
            <c:spPr>
              <a:solidFill>
                <a:srgbClr val="C0504D"/>
              </a:solidFill>
              <a:ln>
                <a:noFill/>
              </a:ln>
            </c:spPr>
          </c:dPt>
          <c:dLbls>
            <c:dLbl>
              <c:idx val="0"/>
              <c:layout>
                <c:manualLayout>
                  <c:x val="-8.4359920000000005E-2"/>
                  <c:y val="0.11103093"/>
                </c:manualLayout>
              </c:layout>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14.43%</a:t>
                    </a:r>
                  </a:p>
                </c:rich>
              </c:tx>
              <c:spPr>
                <a:noFill/>
                <a:ln>
                  <a:noFill/>
                </a:ln>
              </c:spPr>
              <c:dLblPos val="bestFit"/>
              <c:showLegendKey val="0"/>
              <c:showVal val="0"/>
              <c:showCatName val="0"/>
              <c:showSerName val="0"/>
              <c:showPercent val="1"/>
              <c:showBubbleSize val="0"/>
            </c:dLbl>
            <c:dLbl>
              <c:idx val="1"/>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86.57%</a:t>
                    </a:r>
                  </a:p>
                </c:rich>
              </c:tx>
              <c:spPr>
                <a:noFill/>
                <a:ln>
                  <a:noFill/>
                </a:ln>
              </c:spPr>
              <c:dLblPos val="inEnd"/>
              <c:showLegendKey val="0"/>
              <c:showVal val="0"/>
              <c:showCatName val="0"/>
              <c:showSerName val="0"/>
              <c:showPercent val="1"/>
              <c:showBubbleSize val="0"/>
            </c:dLbl>
            <c:numFmt formatCode="0%" sourceLinked="0"/>
            <c:spPr>
              <a:noFill/>
              <a:ln>
                <a:noFill/>
              </a:ln>
            </c:spPr>
            <c:txPr>
              <a:bodyPr vert="horz"/>
              <a:lstStyle/>
              <a:p>
                <a:pPr>
                  <a:defRPr sz="900" b="1" i="0" u="none" strike="noStrike" baseline="0">
                    <a:solidFill>
                      <a:srgbClr val="000000"/>
                    </a:solidFill>
                    <a:latin typeface="方正兰亭黑_GBK"/>
                    <a:ea typeface="方正兰亭黑_GBK"/>
                    <a:cs typeface="Lucida Sans"/>
                  </a:defRPr>
                </a:pPr>
                <a:endParaRPr lang="zh-CN"/>
              </a:p>
            </c:txPr>
            <c:dLblPos val="inEnd"/>
            <c:showLegendKey val="0"/>
            <c:showVal val="0"/>
            <c:showCatName val="0"/>
            <c:showSerName val="0"/>
            <c:showPercent val="1"/>
            <c:showBubbleSize val="0"/>
            <c:showLeaderLines val="1"/>
          </c:dLbls>
          <c:cat>
            <c:strRef>
              <c:f>'Sheet1 (3)'!$A$2:$A$3</c:f>
              <c:strCache>
                <c:ptCount val="2"/>
                <c:pt idx="0">
                  <c:v>项目支出</c:v>
                </c:pt>
                <c:pt idx="1">
                  <c:v>基本支出</c:v>
                </c:pt>
              </c:strCache>
            </c:strRef>
          </c:cat>
          <c:val>
            <c:numRef>
              <c:f>'Sheet1 (3)'!$B$2:$B$3</c:f>
              <c:numCache>
                <c:formatCode>0.00%</c:formatCode>
                <c:ptCount val="2"/>
                <c:pt idx="0">
                  <c:v>0.14430000000000001</c:v>
                </c:pt>
                <c:pt idx="1">
                  <c:v>0.85570000000000002</c:v>
                </c:pt>
              </c:numCache>
            </c:numRef>
          </c:val>
        </c:ser>
        <c:dLbls>
          <c:showLegendKey val="0"/>
          <c:showVal val="0"/>
          <c:showCatName val="0"/>
          <c:showSerName val="0"/>
          <c:showPercent val="0"/>
          <c:showBubbleSize val="0"/>
          <c:showLeaderLines val="1"/>
        </c:dLbls>
        <c:firstSliceAng val="19"/>
      </c:pieChart>
      <c:spPr>
        <a:noFill/>
        <a:ln>
          <a:noFill/>
        </a:ln>
      </c:spPr>
    </c:plotArea>
    <c:legend>
      <c:legendPos val="r"/>
      <c:legendEntry>
        <c:idx val="0"/>
        <c:txPr>
          <a:bodyPr/>
          <a:lstStyle/>
          <a:p>
            <a:pPr>
              <a:defRPr sz="900" b="0" i="0" u="none" strike="noStrike" baseline="0">
                <a:solidFill>
                  <a:srgbClr val="000000"/>
                </a:solidFill>
                <a:latin typeface="方正兰亭黑_GBK"/>
                <a:ea typeface="方正兰亭黑_GBK"/>
                <a:cs typeface="Lucida Sans"/>
              </a:defRPr>
            </a:pPr>
            <a:endParaRPr lang="zh-CN"/>
          </a:p>
        </c:txPr>
      </c:legendEntry>
      <c:legendEntry>
        <c:idx val="1"/>
        <c:txPr>
          <a:bodyPr/>
          <a:lstStyle/>
          <a:p>
            <a:pPr>
              <a:defRPr sz="900" b="0" i="0" u="none" strike="noStrike" baseline="0">
                <a:solidFill>
                  <a:srgbClr val="000000"/>
                </a:solidFill>
                <a:latin typeface="方正兰亭黑_GBK"/>
                <a:ea typeface="方正兰亭黑_GBK"/>
                <a:cs typeface="Lucida Sans"/>
              </a:defRPr>
            </a:pPr>
            <a:endParaRPr lang="zh-CN"/>
          </a:p>
        </c:txPr>
      </c:legendEntry>
      <c:layout>
        <c:manualLayout>
          <c:xMode val="edge"/>
          <c:yMode val="edge"/>
          <c:x val="0.79370563999999999"/>
          <c:y val="0.48022017"/>
          <c:w val="0.18446425"/>
          <c:h val="0.19229446"/>
        </c:manualLayout>
      </c:layout>
      <c:overlay val="0"/>
      <c:spPr>
        <a:noFill/>
        <a:ln>
          <a:noFill/>
        </a:ln>
      </c:spPr>
      <c:txPr>
        <a:bodyPr/>
        <a:lstStyle/>
        <a:p>
          <a:pPr>
            <a:defRPr sz="900" b="0" i="0" u="none" strike="noStrike" baseline="0">
              <a:solidFill>
                <a:srgbClr val="000000"/>
              </a:solidFill>
              <a:latin typeface="方正兰亭黑_GBK"/>
              <a:ea typeface="方正兰亭黑_GBK"/>
              <a:cs typeface="Lucida Sans"/>
            </a:defRPr>
          </a:pPr>
          <a:endParaRPr lang="zh-CN"/>
        </a:p>
      </c:txPr>
    </c:legend>
    <c:plotVisOnly val="0"/>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财政拨款收、支决算总计变动情况</a:t>
            </a:r>
          </a:p>
        </c:rich>
      </c:tx>
      <c:layout>
        <c:manualLayout>
          <c:xMode val="edge"/>
          <c:yMode val="edge"/>
          <c:x val="0.14197125999999999"/>
          <c:y val="2.9113035999999998E-2"/>
        </c:manualLayout>
      </c:layout>
      <c:overlay val="0"/>
      <c:spPr>
        <a:ln>
          <a:noFill/>
        </a:ln>
      </c:spPr>
    </c:title>
    <c:autoTitleDeleted val="0"/>
    <c:plotArea>
      <c:layout>
        <c:manualLayout>
          <c:layoutTarget val="inner"/>
          <c:xMode val="edge"/>
          <c:yMode val="edge"/>
          <c:x val="5.5687937999999999E-2"/>
          <c:y val="0.33989893999999998"/>
          <c:w val="0.94086020000000004"/>
          <c:h val="0.50619656000000002"/>
        </c:manualLayout>
      </c:layout>
      <c:barChart>
        <c:barDir val="col"/>
        <c:grouping val="clustered"/>
        <c:varyColors val="0"/>
        <c:ser>
          <c:idx val="0"/>
          <c:order val="0"/>
          <c:tx>
            <c:strRef>
              <c:f>'Sheet1 (4)'!$B$1</c:f>
              <c:strCache>
                <c:ptCount val="1"/>
                <c:pt idx="0">
                  <c:v>2021</c:v>
                </c:pt>
              </c:strCache>
            </c:strRef>
          </c:tx>
          <c:spPr>
            <a:solidFill>
              <a:srgbClr val="4F81B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 (4)'!$A$2:$A$3</c:f>
              <c:strCache>
                <c:ptCount val="2"/>
                <c:pt idx="0">
                  <c:v>财政拨款总收入</c:v>
                </c:pt>
                <c:pt idx="1">
                  <c:v>财政拨款总支出</c:v>
                </c:pt>
              </c:strCache>
            </c:strRef>
          </c:cat>
          <c:val>
            <c:numRef>
              <c:f>'Sheet1 (4)'!$B$2:$B$3</c:f>
              <c:numCache>
                <c:formatCode>General</c:formatCode>
                <c:ptCount val="2"/>
                <c:pt idx="0">
                  <c:v>7497.07</c:v>
                </c:pt>
                <c:pt idx="1">
                  <c:v>7497.07</c:v>
                </c:pt>
              </c:numCache>
            </c:numRef>
          </c:val>
        </c:ser>
        <c:ser>
          <c:idx val="1"/>
          <c:order val="1"/>
          <c:tx>
            <c:strRef>
              <c:f>'Sheet1 (4)'!$C$1</c:f>
              <c:strCache>
                <c:ptCount val="1"/>
                <c:pt idx="0">
                  <c:v>2022</c:v>
                </c:pt>
              </c:strCache>
            </c:strRef>
          </c:tx>
          <c:spPr>
            <a:solidFill>
              <a:srgbClr val="C0504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 (4)'!$A$2:$A$3</c:f>
              <c:strCache>
                <c:ptCount val="2"/>
                <c:pt idx="0">
                  <c:v>财政拨款总收入</c:v>
                </c:pt>
                <c:pt idx="1">
                  <c:v>财政拨款总支出</c:v>
                </c:pt>
              </c:strCache>
            </c:strRef>
          </c:cat>
          <c:val>
            <c:numRef>
              <c:f>'Sheet1 (4)'!$C$2:$C$3</c:f>
              <c:numCache>
                <c:formatCode>General</c:formatCode>
                <c:ptCount val="2"/>
                <c:pt idx="0">
                  <c:v>7258.97</c:v>
                </c:pt>
                <c:pt idx="1">
                  <c:v>7258.97</c:v>
                </c:pt>
              </c:numCache>
            </c:numRef>
          </c:val>
        </c:ser>
        <c:dLbls>
          <c:showLegendKey val="0"/>
          <c:showVal val="0"/>
          <c:showCatName val="0"/>
          <c:showSerName val="0"/>
          <c:showPercent val="0"/>
          <c:showBubbleSize val="0"/>
        </c:dLbls>
        <c:gapWidth val="150"/>
        <c:overlap val="-25"/>
        <c:axId val="208176256"/>
        <c:axId val="208177792"/>
      </c:barChart>
      <c:catAx>
        <c:axId val="208176256"/>
        <c:scaling>
          <c:orientation val="minMax"/>
        </c:scaling>
        <c:delete val="0"/>
        <c:axPos val="b"/>
        <c:numFmt formatCode="General" sourceLinked="1"/>
        <c:majorTickMark val="none"/>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Ax val="208177792"/>
        <c:crosses val="autoZero"/>
        <c:auto val="1"/>
        <c:lblAlgn val="ctr"/>
        <c:lblOffset val="100"/>
        <c:noMultiLvlLbl val="0"/>
      </c:catAx>
      <c:valAx>
        <c:axId val="208177792"/>
        <c:scaling>
          <c:orientation val="minMax"/>
        </c:scaling>
        <c:delete val="1"/>
        <c:axPos val="l"/>
        <c:numFmt formatCode="General" sourceLinked="1"/>
        <c:majorTickMark val="none"/>
        <c:minorTickMark val="none"/>
        <c:tickLblPos val="none"/>
        <c:crossAx val="208176256"/>
        <c:crossesAt val="1"/>
        <c:crossBetween val="between"/>
      </c:valAx>
      <c:spPr>
        <a:solidFill>
          <a:srgbClr val="FFFFFF"/>
        </a:solidFill>
      </c:spPr>
    </c:plotArea>
    <c:legend>
      <c:legendPos val="t"/>
      <c:layout>
        <c:manualLayout>
          <c:xMode val="edge"/>
          <c:yMode val="edge"/>
          <c:x val="0.41506700000000002"/>
          <c:y val="0.18066405999999999"/>
        </c:manualLayout>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ln w="6350">
      <a:solidFill>
        <a:srgbClr val="868686"/>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方正兰亭黑_GBK"/>
                <a:ea typeface="方正兰亭黑_GBK"/>
                <a:cs typeface="Lucida Sans"/>
              </a:defRPr>
            </a:pPr>
            <a:r>
              <a:rPr lang="zh-CN"/>
              <a:t>一般公共预算财政拨款支出决算变动情况</a:t>
            </a:r>
          </a:p>
        </c:rich>
      </c:tx>
      <c:layout>
        <c:manualLayout>
          <c:xMode val="edge"/>
          <c:yMode val="edge"/>
          <c:x val="0.11497862"/>
          <c:y val="4.8829853999999999E-2"/>
        </c:manualLayout>
      </c:layout>
      <c:overlay val="0"/>
      <c:spPr>
        <a:noFill/>
        <a:ln>
          <a:noFill/>
        </a:ln>
      </c:spPr>
    </c:title>
    <c:autoTitleDeleted val="0"/>
    <c:plotArea>
      <c:layout>
        <c:manualLayout>
          <c:layoutTarget val="inner"/>
          <c:xMode val="edge"/>
          <c:yMode val="edge"/>
          <c:x val="0.15910237999999999"/>
          <c:y val="0.36914049999999998"/>
          <c:w val="0.69437919999999997"/>
          <c:h val="0.50561522999999997"/>
        </c:manualLayout>
      </c:layout>
      <c:barChart>
        <c:barDir val="col"/>
        <c:grouping val="clustered"/>
        <c:varyColors val="0"/>
        <c:ser>
          <c:idx val="0"/>
          <c:order val="0"/>
          <c:tx>
            <c:strRef>
              <c:f>'Sheet1 (5)'!$B$1</c:f>
              <c:strCache>
                <c:ptCount val="1"/>
                <c:pt idx="0">
                  <c:v>2021</c:v>
                </c:pt>
              </c:strCache>
            </c:strRef>
          </c:tx>
          <c:spPr>
            <a:solidFill>
              <a:srgbClr val="1F497D"/>
            </a:solidFill>
            <a:ln>
              <a:noFill/>
            </a:ln>
          </c:spPr>
          <c:invertIfNegative val="0"/>
          <c:dPt>
            <c:idx val="1"/>
            <c:invertIfNegative val="0"/>
            <c:bubble3D val="0"/>
            <c:spPr>
              <a:solidFill>
                <a:srgbClr val="C0504D"/>
              </a:solidFill>
              <a:ln>
                <a:noFill/>
              </a:ln>
            </c:spPr>
          </c:dPt>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 (5)'!$A$2:$A$3</c:f>
              <c:strCache>
                <c:ptCount val="2"/>
                <c:pt idx="1">
                  <c:v>一般公共预算财政拨款支出</c:v>
                </c:pt>
              </c:strCache>
            </c:strRef>
          </c:cat>
          <c:val>
            <c:numRef>
              <c:f>'Sheet1 (5)'!$B$2:$B$3</c:f>
              <c:numCache>
                <c:formatCode>General</c:formatCode>
                <c:ptCount val="2"/>
                <c:pt idx="0">
                  <c:v>7105.58</c:v>
                </c:pt>
                <c:pt idx="1">
                  <c:v>7258.97</c:v>
                </c:pt>
              </c:numCache>
            </c:numRef>
          </c:val>
        </c:ser>
        <c:ser>
          <c:idx val="1"/>
          <c:order val="1"/>
          <c:tx>
            <c:strRef>
              <c:f>'Sheet1 (5)'!$C$1</c:f>
              <c:strCache>
                <c:ptCount val="1"/>
                <c:pt idx="0">
                  <c:v>2022</c:v>
                </c:pt>
              </c:strCache>
            </c:strRef>
          </c:tx>
          <c:spPr>
            <a:solidFill>
              <a:srgbClr val="C0504D"/>
            </a:solidFill>
            <a:ln>
              <a:noFill/>
            </a:ln>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dLblPos val="outEnd"/>
            <c:showLegendKey val="0"/>
            <c:showVal val="1"/>
            <c:showCatName val="0"/>
            <c:showSerName val="0"/>
            <c:showPercent val="0"/>
            <c:showBubbleSize val="0"/>
            <c:showLeaderLines val="0"/>
          </c:dLbls>
          <c:cat>
            <c:strRef>
              <c:f>'Sheet1 (5)'!$A$2:$A$3</c:f>
              <c:strCache>
                <c:ptCount val="2"/>
                <c:pt idx="1">
                  <c:v>一般公共预算财政拨款支出</c:v>
                </c:pt>
              </c:strCache>
            </c:strRef>
          </c:cat>
          <c:val>
            <c:numRef>
              <c:f>'Sheet1 (5)'!$C$2:$C$3</c:f>
              <c:numCache>
                <c:formatCode>General</c:formatCode>
                <c:ptCount val="2"/>
              </c:numCache>
            </c:numRef>
          </c:val>
        </c:ser>
        <c:dLbls>
          <c:showLegendKey val="0"/>
          <c:showVal val="0"/>
          <c:showCatName val="0"/>
          <c:showSerName val="0"/>
          <c:showPercent val="0"/>
          <c:showBubbleSize val="0"/>
        </c:dLbls>
        <c:gapWidth val="150"/>
        <c:overlap val="-25"/>
        <c:axId val="208229120"/>
        <c:axId val="208230656"/>
      </c:barChart>
      <c:catAx>
        <c:axId val="208229120"/>
        <c:scaling>
          <c:orientation val="minMax"/>
        </c:scaling>
        <c:delete val="0"/>
        <c:axPos val="b"/>
        <c:numFmt formatCode="General" sourceLinked="1"/>
        <c:majorTickMark val="none"/>
        <c:minorTickMark val="none"/>
        <c:tickLblPos val="nextTo"/>
        <c:spPr>
          <a:ln w="6350">
            <a:solidFill>
              <a:srgbClr val="868686"/>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crossAx val="208230656"/>
        <c:crosses val="autoZero"/>
        <c:auto val="1"/>
        <c:lblAlgn val="ctr"/>
        <c:lblOffset val="100"/>
        <c:noMultiLvlLbl val="0"/>
      </c:catAx>
      <c:valAx>
        <c:axId val="208230656"/>
        <c:scaling>
          <c:orientation val="minMax"/>
        </c:scaling>
        <c:delete val="1"/>
        <c:axPos val="l"/>
        <c:numFmt formatCode="General" sourceLinked="1"/>
        <c:majorTickMark val="none"/>
        <c:minorTickMark val="none"/>
        <c:tickLblPos val="none"/>
        <c:crossAx val="208229120"/>
        <c:crossesAt val="1"/>
        <c:crossBetween val="between"/>
      </c:valAx>
      <c:spPr>
        <a:solidFill>
          <a:srgbClr val="FFFFFF"/>
        </a:solidFill>
        <a:ln>
          <a:noFill/>
        </a:ln>
      </c:spPr>
    </c:plotArea>
    <c:legend>
      <c:legendPos val="t"/>
      <c:layout>
        <c:manualLayout>
          <c:xMode val="edge"/>
          <c:yMode val="edge"/>
          <c:x val="0.40069700000000003"/>
          <c:y val="0.26026569999999999"/>
        </c:manualLayout>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solidFill>
      <a:srgbClr val="FFFFFF"/>
    </a:solidFill>
    <a:ln w="6350">
      <a:solidFill>
        <a:srgbClr val="868686"/>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cap="all" baseline="0">
                <a:solidFill>
                  <a:srgbClr val="000000"/>
                </a:solidFill>
                <a:latin typeface="方正兰亭黑_GBK"/>
                <a:ea typeface="方正兰亭黑_GBK"/>
                <a:cs typeface="Lucida Sans"/>
              </a:defRPr>
            </a:pPr>
            <a:r>
              <a:rPr lang="zh-CN"/>
              <a:t>一般公共预算财政拨款支出决算结构</a:t>
            </a:r>
          </a:p>
        </c:rich>
      </c:tx>
      <c:overlay val="0"/>
      <c:spPr>
        <a:noFill/>
        <a:ln>
          <a:noFill/>
        </a:ln>
      </c:spPr>
    </c:title>
    <c:autoTitleDeleted val="0"/>
    <c:plotArea>
      <c:layout/>
      <c:pieChart>
        <c:varyColors val="1"/>
        <c:ser>
          <c:idx val="0"/>
          <c:order val="0"/>
          <c:tx>
            <c:strRef>
              <c:f>'Sheet1 (6)'!$B$1</c:f>
              <c:strCache>
                <c:ptCount val="1"/>
                <c:pt idx="0">
                  <c:v>一般公共预算财政拨款支出决算结构</c:v>
                </c:pt>
              </c:strCache>
            </c:strRef>
          </c:tx>
          <c:spPr>
            <a:solidFill>
              <a:srgbClr val="4F81BD"/>
            </a:solidFill>
          </c:spPr>
          <c:dPt>
            <c:idx val="0"/>
            <c:bubble3D val="0"/>
            <c:spPr>
              <a:solidFill>
                <a:srgbClr val="4F81BD"/>
              </a:solidFill>
              <a:ln>
                <a:noFill/>
              </a:ln>
            </c:spPr>
          </c:dPt>
          <c:dPt>
            <c:idx val="1"/>
            <c:bubble3D val="0"/>
            <c:spPr>
              <a:solidFill>
                <a:srgbClr val="C0504D"/>
              </a:solidFill>
              <a:ln>
                <a:noFill/>
              </a:ln>
            </c:spPr>
          </c:dPt>
          <c:dPt>
            <c:idx val="2"/>
            <c:bubble3D val="0"/>
            <c:spPr>
              <a:solidFill>
                <a:srgbClr val="9BBB59"/>
              </a:solidFill>
              <a:ln>
                <a:noFill/>
              </a:ln>
            </c:spPr>
          </c:dPt>
          <c:dPt>
            <c:idx val="3"/>
            <c:bubble3D val="0"/>
            <c:spPr>
              <a:solidFill>
                <a:srgbClr val="8064A2"/>
              </a:solidFill>
              <a:ln>
                <a:noFill/>
              </a:ln>
            </c:spPr>
          </c:dPt>
          <c:dLbls>
            <c:dLbl>
              <c:idx val="0"/>
              <c:layout>
                <c:manualLayout>
                  <c:x val="6.8922125000000001E-2"/>
                  <c:y val="-2.0470603E-3"/>
                </c:manualLayout>
              </c:layout>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一般公共服务支出  
1.04%</a:t>
                    </a:r>
                  </a:p>
                </c:rich>
              </c:tx>
              <c:spPr>
                <a:noFill/>
                <a:ln>
                  <a:noFill/>
                </a:ln>
              </c:spPr>
              <c:dLblPos val="bestFit"/>
              <c:showLegendKey val="0"/>
              <c:showVal val="0"/>
              <c:showCatName val="0"/>
              <c:showSerName val="0"/>
              <c:showPercent val="1"/>
              <c:showBubbleSize val="0"/>
            </c:dLbl>
            <c:dLbl>
              <c:idx val="1"/>
              <c:layout>
                <c:manualLayout>
                  <c:x val="7.7629989999999996E-3"/>
                  <c:y val="5.1466922999999998E-2"/>
                </c:manualLayout>
              </c:layout>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社会保障和就业支出27.1%</a:t>
                    </a:r>
                  </a:p>
                </c:rich>
              </c:tx>
              <c:spPr>
                <a:noFill/>
                <a:ln>
                  <a:noFill/>
                </a:ln>
              </c:spPr>
              <c:dLblPos val="bestFit"/>
              <c:showLegendKey val="0"/>
              <c:showVal val="0"/>
              <c:showCatName val="0"/>
              <c:showSerName val="0"/>
              <c:showPercent val="1"/>
              <c:showBubbleSize val="0"/>
            </c:dLbl>
            <c:dLbl>
              <c:idx val="2"/>
              <c:layout>
                <c:manualLayout>
                  <c:x val="0.12051281"/>
                  <c:y val="0"/>
                </c:manualLayout>
              </c:layout>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住房保障支出
5.25%</a:t>
                    </a:r>
                  </a:p>
                </c:rich>
              </c:tx>
              <c:spPr>
                <a:noFill/>
                <a:ln>
                  <a:noFill/>
                </a:ln>
              </c:spPr>
              <c:dLblPos val="bestFit"/>
              <c:showLegendKey val="0"/>
              <c:showVal val="0"/>
              <c:showCatName val="0"/>
              <c:showSerName val="0"/>
              <c:showPercent val="1"/>
              <c:showBubbleSize val="0"/>
            </c:dLbl>
            <c:dLbl>
              <c:idx val="3"/>
              <c:layout>
                <c:manualLayout>
                  <c:x val="-1.8915294E-3"/>
                  <c:y val="-7.0658490000000004E-2"/>
                </c:manualLayout>
              </c:layout>
              <c:tx>
                <c:rich>
                  <a:bodyPr vert="horz"/>
                  <a:lstStyle/>
                  <a:p>
                    <a:pPr>
                      <a:defRPr sz="900" b="1" i="0" u="none" strike="noStrike" baseline="0">
                        <a:solidFill>
                          <a:srgbClr val="000000"/>
                        </a:solidFill>
                        <a:latin typeface="方正兰亭黑_GBK"/>
                        <a:ea typeface="方正兰亭黑_GBK"/>
                        <a:cs typeface="Lucida Sans"/>
                      </a:defRPr>
                    </a:pPr>
                    <a:r>
                      <a:rPr lang="zh-CN" sz="900" b="1" i="0" u="none" strike="noStrike" baseline="0">
                        <a:solidFill>
                          <a:srgbClr val="000000"/>
                        </a:solidFill>
                        <a:latin typeface="方正兰亭黑_GBK"/>
                        <a:ea typeface="方正兰亭黑_GBK"/>
                        <a:cs typeface="Lucida Sans"/>
                      </a:rPr>
                      <a:t>城乡社区支出
66.61%</a:t>
                    </a:r>
                  </a:p>
                </c:rich>
              </c:tx>
              <c:spPr>
                <a:noFill/>
                <a:ln>
                  <a:noFill/>
                </a:ln>
              </c:spPr>
              <c:dLblPos val="bestFit"/>
              <c:showLegendKey val="0"/>
              <c:showVal val="0"/>
              <c:showCatName val="0"/>
              <c:showSerName val="0"/>
              <c:showPercent val="1"/>
              <c:showBubbleSize val="0"/>
            </c:dLbl>
            <c:numFmt formatCode="0%" sourceLinked="0"/>
            <c:spPr>
              <a:noFill/>
              <a:ln>
                <a:noFill/>
              </a:ln>
            </c:spPr>
            <c:txPr>
              <a:bodyPr vert="horz"/>
              <a:lstStyle/>
              <a:p>
                <a:pPr>
                  <a:defRPr sz="900" b="1" i="0" u="none" strike="noStrike" baseline="0">
                    <a:solidFill>
                      <a:srgbClr val="000000"/>
                    </a:solidFill>
                    <a:latin typeface="方正兰亭黑_GBK"/>
                    <a:ea typeface="方正兰亭黑_GBK"/>
                    <a:cs typeface="Lucida Sans"/>
                  </a:defRPr>
                </a:pPr>
                <a:endParaRPr lang="zh-CN"/>
              </a:p>
            </c:txPr>
            <c:dLblPos val="inEnd"/>
            <c:showLegendKey val="0"/>
            <c:showVal val="0"/>
            <c:showCatName val="0"/>
            <c:showSerName val="0"/>
            <c:showPercent val="1"/>
            <c:showBubbleSize val="0"/>
            <c:showLeaderLines val="1"/>
          </c:dLbls>
          <c:cat>
            <c:strRef>
              <c:f>'Sheet1 (6)'!$A$2:$A$5</c:f>
              <c:strCache>
                <c:ptCount val="4"/>
                <c:pt idx="0">
                  <c:v>一般公共服务支出</c:v>
                </c:pt>
                <c:pt idx="1">
                  <c:v>社会保障和就业支出</c:v>
                </c:pt>
                <c:pt idx="2">
                  <c:v>住房保障支出</c:v>
                </c:pt>
                <c:pt idx="3">
                  <c:v>城乡社区支出</c:v>
                </c:pt>
              </c:strCache>
            </c:strRef>
          </c:cat>
          <c:val>
            <c:numRef>
              <c:f>'Sheet1 (6)'!$B$2:$B$5</c:f>
              <c:numCache>
                <c:formatCode>0.00%</c:formatCode>
                <c:ptCount val="4"/>
                <c:pt idx="0">
                  <c:v>1.04E-2</c:v>
                </c:pt>
                <c:pt idx="1">
                  <c:v>0.27100000000000002</c:v>
                </c:pt>
                <c:pt idx="2">
                  <c:v>5.2499999999999998E-2</c:v>
                </c:pt>
                <c:pt idx="3">
                  <c:v>0.66610000000000003</c:v>
                </c:pt>
              </c:numCache>
            </c:numRef>
          </c:val>
        </c:ser>
        <c:dLbls>
          <c:showLegendKey val="0"/>
          <c:showVal val="0"/>
          <c:showCatName val="0"/>
          <c:showSerName val="0"/>
          <c:showPercent val="0"/>
          <c:showBubbleSize val="0"/>
          <c:showLeaderLines val="1"/>
        </c:dLbls>
        <c:firstSliceAng val="50"/>
      </c:pieChart>
      <c:spPr>
        <a:noFill/>
        <a:ln>
          <a:noFill/>
        </a:ln>
      </c:spPr>
    </c:plotArea>
    <c:legend>
      <c:legendPos val="r"/>
      <c:legendEntry>
        <c:idx val="0"/>
        <c:txPr>
          <a:bodyPr/>
          <a:lstStyle/>
          <a:p>
            <a:pPr>
              <a:defRPr sz="900" b="0" i="0" u="none" strike="noStrike" baseline="0">
                <a:solidFill>
                  <a:srgbClr val="000000"/>
                </a:solidFill>
                <a:latin typeface="方正兰亭黑_GBK"/>
                <a:ea typeface="方正兰亭黑_GBK"/>
                <a:cs typeface="Lucida Sans"/>
              </a:defRPr>
            </a:pPr>
            <a:endParaRPr lang="zh-CN"/>
          </a:p>
        </c:txPr>
      </c:legendEntry>
      <c:legendEntry>
        <c:idx val="1"/>
        <c:txPr>
          <a:bodyPr/>
          <a:lstStyle/>
          <a:p>
            <a:pPr>
              <a:defRPr sz="900" b="0" i="0" u="none" strike="noStrike" baseline="0">
                <a:solidFill>
                  <a:srgbClr val="000000"/>
                </a:solidFill>
                <a:latin typeface="方正兰亭黑_GBK"/>
                <a:ea typeface="方正兰亭黑_GBK"/>
                <a:cs typeface="Lucida Sans"/>
              </a:defRPr>
            </a:pPr>
            <a:endParaRPr lang="zh-CN"/>
          </a:p>
        </c:txPr>
      </c:legendEntry>
      <c:overlay val="0"/>
      <c:spPr>
        <a:noFill/>
        <a:ln>
          <a:noFill/>
        </a:ln>
      </c:spPr>
      <c:txPr>
        <a:bodyPr/>
        <a:lstStyle/>
        <a:p>
          <a:pPr>
            <a:defRPr sz="900" b="0" i="0" u="none" strike="noStrike" baseline="0">
              <a:solidFill>
                <a:srgbClr val="000000"/>
              </a:solidFill>
              <a:latin typeface="方正兰亭黑_GBK"/>
              <a:ea typeface="方正兰亭黑_GBK"/>
              <a:cs typeface="Lucida Sans"/>
            </a:defRPr>
          </a:pPr>
          <a:endParaRPr lang="zh-CN"/>
        </a:p>
      </c:txPr>
    </c:legend>
    <c:plotVisOnly val="0"/>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595959"/>
                </a:solidFill>
                <a:latin typeface="方正兰亭黑_GBK"/>
                <a:ea typeface="方正兰亭黑_GBK"/>
                <a:cs typeface="Lucida Sans"/>
              </a:defRPr>
            </a:pPr>
            <a:r>
              <a:rPr lang="zh-CN"/>
              <a:t>“三公”经费财政拨款支出结构</a:t>
            </a:r>
          </a:p>
        </c:rich>
      </c:tx>
      <c:layout>
        <c:manualLayout>
          <c:xMode val="edge"/>
          <c:yMode val="edge"/>
          <c:x val="0.12586184"/>
          <c:y val="5.4956240000000003E-2"/>
        </c:manualLayout>
      </c:layout>
      <c:overlay val="0"/>
      <c:spPr>
        <a:noFill/>
        <a:ln>
          <a:noFill/>
        </a:ln>
      </c:spPr>
    </c:title>
    <c:autoTitleDeleted val="0"/>
    <c:plotArea>
      <c:layout/>
      <c:pieChart>
        <c:varyColors val="1"/>
        <c:ser>
          <c:idx val="0"/>
          <c:order val="0"/>
          <c:tx>
            <c:strRef>
              <c:f>'Sheet1 (7)'!$B$1</c:f>
              <c:strCache>
                <c:ptCount val="1"/>
                <c:pt idx="0">
                  <c:v>列1</c:v>
                </c:pt>
              </c:strCache>
            </c:strRef>
          </c:tx>
          <c:spPr>
            <a:solidFill>
              <a:srgbClr val="4F81BD"/>
            </a:solidFill>
          </c:spPr>
          <c:dPt>
            <c:idx val="0"/>
            <c:bubble3D val="0"/>
            <c:spPr>
              <a:gradFill rotWithShape="1">
                <a:gsLst>
                  <a:gs pos="0">
                    <a:srgbClr val="2C5D98">
                      <a:alpha val="100000"/>
                    </a:srgbClr>
                  </a:gs>
                  <a:gs pos="80000">
                    <a:srgbClr val="3C7BC7">
                      <a:alpha val="100000"/>
                    </a:srgbClr>
                  </a:gs>
                  <a:gs pos="100000">
                    <a:srgbClr val="3A7CCB">
                      <a:alpha val="100000"/>
                    </a:srgbClr>
                  </a:gs>
                </a:gsLst>
                <a:lin ang="16200000" scaled="1"/>
              </a:gradFill>
              <a:ln>
                <a:noFill/>
              </a:ln>
              <a:effectLst>
                <a:outerShdw dist="35921" dir="2700000" algn="br">
                  <a:srgbClr val="000000"/>
                </a:outerShdw>
              </a:effectLst>
            </c:spPr>
          </c:dPt>
          <c:dPt>
            <c:idx val="1"/>
            <c:bubble3D val="0"/>
            <c:spPr>
              <a:gradFill rotWithShape="1">
                <a:gsLst>
                  <a:gs pos="0">
                    <a:srgbClr val="9B2D2A">
                      <a:alpha val="100000"/>
                    </a:srgbClr>
                  </a:gs>
                  <a:gs pos="80000">
                    <a:srgbClr val="CB3D3A">
                      <a:alpha val="100000"/>
                    </a:srgbClr>
                  </a:gs>
                  <a:gs pos="100000">
                    <a:srgbClr val="CE3B37">
                      <a:alpha val="100000"/>
                    </a:srgbClr>
                  </a:gs>
                </a:gsLst>
                <a:lin ang="16200000" scaled="1"/>
              </a:gradFill>
              <a:ln>
                <a:noFill/>
              </a:ln>
              <a:effectLst>
                <a:outerShdw dist="35921" dir="2700000" algn="br">
                  <a:srgbClr val="000000"/>
                </a:outerShdw>
              </a:effectLst>
            </c:spPr>
          </c:dPt>
          <c:dPt>
            <c:idx val="2"/>
            <c:bubble3D val="0"/>
            <c:spPr>
              <a:gradFill rotWithShape="1">
                <a:gsLst>
                  <a:gs pos="0">
                    <a:srgbClr val="769535">
                      <a:alpha val="100000"/>
                    </a:srgbClr>
                  </a:gs>
                  <a:gs pos="80000">
                    <a:srgbClr val="9BC348">
                      <a:alpha val="100000"/>
                    </a:srgbClr>
                  </a:gs>
                  <a:gs pos="100000">
                    <a:srgbClr val="9CC746">
                      <a:alpha val="100000"/>
                    </a:srgbClr>
                  </a:gs>
                </a:gsLst>
                <a:lin ang="16200000" scaled="1"/>
              </a:gradFill>
              <a:ln>
                <a:noFill/>
              </a:ln>
              <a:effectLst>
                <a:outerShdw dist="35921" dir="2700000" algn="br">
                  <a:srgbClr val="000000"/>
                </a:outerShdw>
              </a:effectLst>
            </c:spPr>
          </c:dPt>
          <c:dPt>
            <c:idx val="3"/>
            <c:bubble3D val="0"/>
            <c:spPr>
              <a:gradFill rotWithShape="1">
                <a:gsLst>
                  <a:gs pos="0">
                    <a:srgbClr val="5D417E">
                      <a:alpha val="100000"/>
                    </a:srgbClr>
                  </a:gs>
                  <a:gs pos="80000">
                    <a:srgbClr val="7B58A6">
                      <a:alpha val="100000"/>
                    </a:srgbClr>
                  </a:gs>
                  <a:gs pos="100000">
                    <a:srgbClr val="7B57A8">
                      <a:alpha val="100000"/>
                    </a:srgbClr>
                  </a:gs>
                </a:gsLst>
                <a:lin ang="16200000" scaled="1"/>
              </a:gradFill>
              <a:ln>
                <a:noFill/>
              </a:ln>
              <a:effectLst>
                <a:outerShdw dist="35921" dir="2700000" algn="br">
                  <a:srgbClr val="000000"/>
                </a:outerShdw>
              </a:effectLst>
            </c:spPr>
          </c:dPt>
          <c:dLbls>
            <c:dLbl>
              <c:idx val="0"/>
              <c:layout>
                <c:manualLayout>
                  <c:x val="0.24789783000000001"/>
                  <c:y val="-0.27088475000000001"/>
                </c:manualLayout>
              </c:layout>
              <c:spPr>
                <a:noFill/>
                <a:ln>
                  <a:noFill/>
                </a:ln>
              </c:spPr>
              <c:txPr>
                <a:bodyPr vert="horz"/>
                <a:lstStyle/>
                <a:p>
                  <a:pPr>
                    <a:defRPr sz="900" b="0" i="0" u="none" strike="noStrike" baseline="0">
                      <a:solidFill>
                        <a:srgbClr val="404040"/>
                      </a:solidFill>
                      <a:latin typeface="方正兰亭黑_GBK"/>
                      <a:ea typeface="方正兰亭黑_GBK"/>
                      <a:cs typeface="Lucida Sans"/>
                    </a:defRPr>
                  </a:pPr>
                  <a:endParaRPr lang="zh-CN"/>
                </a:p>
              </c:txPr>
              <c:dLblPos val="bestFit"/>
              <c:showLegendKey val="0"/>
              <c:showVal val="0"/>
              <c:showCatName val="0"/>
              <c:showSerName val="0"/>
              <c:showPercent val="1"/>
              <c:showBubbleSize val="0"/>
            </c:dLbl>
            <c:dLbl>
              <c:idx val="1"/>
              <c:delete val="1"/>
            </c:dLbl>
            <c:dLbl>
              <c:idx val="2"/>
              <c:delete val="1"/>
            </c:dLbl>
            <c:dLbl>
              <c:idx val="3"/>
              <c:delete val="1"/>
            </c:dLbl>
            <c:numFmt formatCode="0%" sourceLinked="0"/>
            <c:spPr>
              <a:noFill/>
              <a:ln>
                <a:noFill/>
              </a:ln>
            </c:spPr>
            <c:txPr>
              <a:bodyPr vert="horz"/>
              <a:lstStyle/>
              <a:p>
                <a:pPr>
                  <a:defRPr sz="900" b="0" i="0" u="none" strike="noStrike" baseline="0">
                    <a:solidFill>
                      <a:srgbClr val="404040"/>
                    </a:solidFill>
                    <a:latin typeface="方正兰亭黑_GBK"/>
                    <a:ea typeface="方正兰亭黑_GBK"/>
                    <a:cs typeface="Lucida Sans"/>
                  </a:defRPr>
                </a:pPr>
                <a:endParaRPr lang="zh-CN"/>
              </a:p>
            </c:txPr>
            <c:dLblPos val="inEnd"/>
            <c:showLegendKey val="0"/>
            <c:showVal val="0"/>
            <c:showCatName val="0"/>
            <c:showSerName val="0"/>
            <c:showPercent val="1"/>
            <c:showBubbleSize val="0"/>
            <c:showLeaderLines val="1"/>
          </c:dLbls>
          <c:cat>
            <c:strRef>
              <c:f>'Sheet1 (7)'!$A$2:$A$5</c:f>
              <c:strCache>
                <c:ptCount val="4"/>
                <c:pt idx="0">
                  <c:v>公务用车购置及运行维护费</c:v>
                </c:pt>
              </c:strCache>
            </c:strRef>
          </c:cat>
          <c:val>
            <c:numRef>
              <c:f>'Sheet1 (7)'!$B$2:$B$5</c:f>
              <c:numCache>
                <c:formatCode>General</c:formatCode>
                <c:ptCount val="4"/>
                <c:pt idx="0" formatCode="0%">
                  <c:v>1</c:v>
                </c:pt>
              </c:numCache>
            </c:numRef>
          </c:val>
        </c:ser>
        <c:dLbls>
          <c:showLegendKey val="0"/>
          <c:showVal val="0"/>
          <c:showCatName val="0"/>
          <c:showSerName val="0"/>
          <c:showPercent val="0"/>
          <c:showBubbleSize val="0"/>
          <c:showLeaderLines val="1"/>
        </c:dLbls>
        <c:firstSliceAng val="0"/>
      </c:pieChart>
      <c:spPr>
        <a:noFill/>
        <a:ln>
          <a:noFill/>
        </a:ln>
      </c:spPr>
    </c:plotArea>
    <c:legend>
      <c:legendPos val="r"/>
      <c:legendEntry>
        <c:idx val="1"/>
        <c:delete val="1"/>
      </c:legendEntry>
      <c:legendEntry>
        <c:idx val="2"/>
        <c:delete val="1"/>
      </c:legendEntry>
      <c:legendEntry>
        <c:idx val="3"/>
        <c:delete val="1"/>
      </c:legendEntry>
      <c:layout>
        <c:manualLayout>
          <c:xMode val="edge"/>
          <c:yMode val="edge"/>
          <c:x val="0.56195223000000005"/>
          <c:y val="0.50163645000000001"/>
          <c:w val="0.40608351999999998"/>
          <c:h val="9.9077659999999998E-2"/>
        </c:manualLayout>
      </c:layout>
      <c:overlay val="0"/>
      <c:spPr>
        <a:noFill/>
        <a:ln>
          <a:noFill/>
        </a:ln>
      </c:spPr>
      <c:txPr>
        <a:bodyPr/>
        <a:lstStyle/>
        <a:p>
          <a:pPr>
            <a:defRPr sz="900" b="0" i="0" u="none" strike="noStrike" baseline="0">
              <a:solidFill>
                <a:srgbClr val="595959"/>
              </a:solidFill>
              <a:latin typeface="方正兰亭黑_GBK"/>
              <a:ea typeface="方正兰亭黑_GBK"/>
              <a:cs typeface="Lucida Sans"/>
            </a:defRPr>
          </a:pPr>
          <a:endParaRPr lang="zh-CN"/>
        </a:p>
      </c:txPr>
    </c:legend>
    <c:plotVisOnly val="1"/>
    <c:dispBlanksAs val="zero"/>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1102</Words>
  <Characters>6287</Characters>
  <Application>Microsoft Office Word</Application>
  <DocSecurity>0</DocSecurity>
  <Lines>52</Lines>
  <Paragraphs>14</Paragraphs>
  <ScaleCrop>false</ScaleCrop>
  <Company>四川省财政厅</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市城管执法局</cp:lastModifiedBy>
  <cp:revision>83</cp:revision>
  <cp:lastPrinted>2023-07-31T02:35:00Z</cp:lastPrinted>
  <dcterms:created xsi:type="dcterms:W3CDTF">2023-08-20T03:49:00Z</dcterms:created>
  <dcterms:modified xsi:type="dcterms:W3CDTF">2023-09-15T05:38:00Z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BC927293BAA44919B96E1B56E55BE820_12</vt:lpwstr>
  </property>
</Properties>
</file>