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E7" w:rsidRDefault="005420E7">
      <w:pPr>
        <w:spacing w:line="600" w:lineRule="exact"/>
        <w:jc w:val="left"/>
        <w:outlineLvl w:val="0"/>
        <w:rPr>
          <w:rFonts w:ascii="方正小标宋简体" w:eastAsia="方正小标宋简体"/>
          <w:szCs w:val="21"/>
        </w:rPr>
      </w:pPr>
      <w:bookmarkStart w:id="0" w:name="_Toc15306267"/>
    </w:p>
    <w:p w:rsidR="005420E7" w:rsidRDefault="005420E7">
      <w:pPr>
        <w:spacing w:line="600" w:lineRule="exact"/>
        <w:jc w:val="center"/>
        <w:outlineLvl w:val="0"/>
        <w:rPr>
          <w:rFonts w:ascii="方正小标宋简体" w:eastAsia="方正小标宋简体"/>
          <w:sz w:val="72"/>
          <w:szCs w:val="72"/>
        </w:rPr>
      </w:pPr>
    </w:p>
    <w:p w:rsidR="005420E7" w:rsidRDefault="005420E7">
      <w:pPr>
        <w:spacing w:line="600" w:lineRule="exact"/>
        <w:jc w:val="center"/>
        <w:outlineLvl w:val="0"/>
        <w:rPr>
          <w:rFonts w:ascii="方正小标宋简体" w:eastAsia="方正小标宋简体"/>
          <w:sz w:val="72"/>
          <w:szCs w:val="72"/>
        </w:rPr>
      </w:pPr>
    </w:p>
    <w:p w:rsidR="005420E7" w:rsidRDefault="005420E7">
      <w:pPr>
        <w:pStyle w:val="a0"/>
        <w:spacing w:beforeLines="0" w:before="93"/>
      </w:pPr>
    </w:p>
    <w:p w:rsidR="005420E7" w:rsidRDefault="00461B4F">
      <w:pPr>
        <w:adjustRightInd w:val="0"/>
        <w:snapToGrid w:val="0"/>
        <w:spacing w:line="360" w:lineRule="auto"/>
        <w:jc w:val="center"/>
        <w:outlineLvl w:val="0"/>
        <w:rPr>
          <w:rFonts w:ascii="方正小标宋简体" w:eastAsia="方正小标宋简体" w:cs="方正小标宋简体"/>
          <w:sz w:val="72"/>
          <w:szCs w:val="72"/>
        </w:rPr>
      </w:pPr>
      <w:bookmarkStart w:id="1" w:name="_Toc15378441"/>
      <w:bookmarkStart w:id="2" w:name="_Toc15396475"/>
      <w:bookmarkStart w:id="3" w:name="_Toc15377425"/>
      <w:bookmarkStart w:id="4" w:name="_Toc15377193"/>
      <w:bookmarkStart w:id="5" w:name="_Toc15396597"/>
      <w:r>
        <w:rPr>
          <w:rFonts w:ascii="方正小标宋简体" w:eastAsia="方正小标宋简体" w:cs="方正小标宋简体" w:hint="eastAsia"/>
          <w:sz w:val="72"/>
          <w:szCs w:val="72"/>
        </w:rPr>
        <w:t>2022</w:t>
      </w:r>
      <w:r>
        <w:rPr>
          <w:rFonts w:ascii="方正小标宋简体" w:eastAsia="方正小标宋简体" w:cs="方正小标宋简体" w:hint="eastAsia"/>
          <w:sz w:val="72"/>
          <w:szCs w:val="72"/>
        </w:rPr>
        <w:t>年度</w:t>
      </w:r>
      <w:bookmarkStart w:id="6" w:name="_Toc15377194"/>
      <w:bookmarkStart w:id="7" w:name="_Toc15396598"/>
      <w:bookmarkStart w:id="8" w:name="_Toc15378442"/>
      <w:bookmarkStart w:id="9" w:name="_Toc15377426"/>
      <w:bookmarkStart w:id="10" w:name="_Toc15396476"/>
      <w:bookmarkEnd w:id="1"/>
      <w:bookmarkEnd w:id="2"/>
      <w:bookmarkEnd w:id="3"/>
      <w:bookmarkEnd w:id="4"/>
      <w:bookmarkEnd w:id="5"/>
    </w:p>
    <w:p w:rsidR="005420E7" w:rsidRDefault="00461B4F">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cs="方正小标宋简体" w:hint="eastAsia"/>
          <w:sz w:val="72"/>
          <w:szCs w:val="72"/>
        </w:rPr>
        <w:t>攀枝花市</w:t>
      </w:r>
      <w:bookmarkStart w:id="11" w:name="_Toc15306268"/>
      <w:bookmarkEnd w:id="0"/>
      <w:r>
        <w:rPr>
          <w:rFonts w:ascii="方正小标宋简体" w:eastAsia="方正小标宋简体" w:cs="方正小标宋简体" w:hint="eastAsia"/>
          <w:sz w:val="72"/>
          <w:szCs w:val="72"/>
        </w:rPr>
        <w:t>数字化城市联动指挥中心单位决算</w:t>
      </w:r>
      <w:bookmarkStart w:id="12" w:name="_GoBack"/>
      <w:bookmarkEnd w:id="6"/>
      <w:bookmarkEnd w:id="7"/>
      <w:bookmarkEnd w:id="8"/>
      <w:bookmarkEnd w:id="9"/>
      <w:bookmarkEnd w:id="10"/>
      <w:bookmarkEnd w:id="11"/>
      <w:bookmarkEnd w:id="12"/>
    </w:p>
    <w:p w:rsidR="005420E7" w:rsidRDefault="00461B4F">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5420E7" w:rsidRDefault="005420E7">
      <w:pPr>
        <w:widowControl/>
        <w:jc w:val="center"/>
        <w:rPr>
          <w:rFonts w:ascii="黑体" w:eastAsia="黑体" w:cs="Arial"/>
          <w:sz w:val="28"/>
          <w:szCs w:val="28"/>
        </w:rPr>
      </w:pPr>
    </w:p>
    <w:p w:rsidR="005420E7" w:rsidRDefault="00461B4F">
      <w:pPr>
        <w:pStyle w:val="10"/>
      </w:pPr>
      <w:r>
        <w:rPr>
          <w:rFonts w:hint="eastAsia"/>
        </w:rPr>
        <w:t>公开时间：</w:t>
      </w:r>
      <w:r>
        <w:rPr>
          <w:rFonts w:hint="eastAsia"/>
        </w:rPr>
        <w:t>2023</w:t>
      </w:r>
      <w:r>
        <w:rPr>
          <w:rFonts w:hint="eastAsia"/>
        </w:rPr>
        <w:t>年</w:t>
      </w:r>
      <w:r>
        <w:rPr>
          <w:rFonts w:hint="eastAsia"/>
        </w:rPr>
        <w:t>9</w:t>
      </w:r>
      <w:r>
        <w:rPr>
          <w:rFonts w:hint="eastAsia"/>
        </w:rPr>
        <w:t>月</w:t>
      </w:r>
      <w:r>
        <w:t>1</w:t>
      </w:r>
      <w:r w:rsidR="00822521">
        <w:rPr>
          <w:rFonts w:hint="eastAsia"/>
        </w:rPr>
        <w:t>5</w:t>
      </w:r>
      <w:r>
        <w:rPr>
          <w:rFonts w:hint="eastAsia"/>
        </w:rPr>
        <w:t>日</w:t>
      </w:r>
    </w:p>
    <w:p w:rsidR="005420E7" w:rsidRDefault="00461B4F">
      <w:pPr>
        <w:pStyle w:val="10"/>
        <w:adjustRightInd w:val="0"/>
        <w:snapToGrid w:val="0"/>
        <w:spacing w:before="0" w:line="440" w:lineRule="exact"/>
        <w:jc w:val="left"/>
        <w:rPr>
          <w:sz w:val="24"/>
        </w:rPr>
      </w:pPr>
      <w:r>
        <w:rPr>
          <w:rFonts w:hint="eastAsia"/>
          <w:sz w:val="24"/>
        </w:rPr>
        <w:t>第一部分</w:t>
      </w:r>
      <w:r>
        <w:rPr>
          <w:sz w:val="24"/>
        </w:rPr>
        <w:t xml:space="preserve"> </w:t>
      </w:r>
      <w:r>
        <w:rPr>
          <w:rFonts w:hint="eastAsia"/>
          <w:sz w:val="24"/>
        </w:rPr>
        <w:t>单位概况</w:t>
      </w:r>
      <w:r>
        <w:rPr>
          <w:rFonts w:cs="Arial"/>
          <w:sz w:val="24"/>
          <w:szCs w:val="24"/>
        </w:rPr>
        <w:tab/>
      </w:r>
      <w:r>
        <w:rPr>
          <w:rFonts w:hint="eastAsia"/>
          <w:sz w:val="24"/>
        </w:rPr>
        <w:t>4</w:t>
      </w:r>
    </w:p>
    <w:p w:rsidR="005420E7" w:rsidRDefault="00461B4F" w:rsidP="00822521">
      <w:pPr>
        <w:pStyle w:val="20"/>
        <w:adjustRightInd w:val="0"/>
        <w:snapToGrid w:val="0"/>
        <w:spacing w:line="440" w:lineRule="exact"/>
        <w:ind w:left="420"/>
        <w:jc w:val="left"/>
        <w:rPr>
          <w:sz w:val="24"/>
        </w:rPr>
      </w:pPr>
      <w:r>
        <w:rPr>
          <w:rFonts w:hint="eastAsia"/>
          <w:sz w:val="24"/>
        </w:rPr>
        <w:t>一、主要职责</w:t>
      </w:r>
      <w:r>
        <w:rPr>
          <w:rFonts w:cs="Arial"/>
          <w:sz w:val="24"/>
        </w:rPr>
        <w:tab/>
      </w:r>
      <w:r>
        <w:rPr>
          <w:rFonts w:hint="eastAsia"/>
          <w:sz w:val="24"/>
        </w:rPr>
        <w:t>4</w:t>
      </w:r>
    </w:p>
    <w:p w:rsidR="005420E7" w:rsidRDefault="00461B4F" w:rsidP="00822521">
      <w:pPr>
        <w:pStyle w:val="20"/>
        <w:adjustRightInd w:val="0"/>
        <w:snapToGrid w:val="0"/>
        <w:spacing w:line="440" w:lineRule="exact"/>
        <w:ind w:left="420"/>
        <w:jc w:val="left"/>
      </w:pPr>
      <w:r>
        <w:rPr>
          <w:rFonts w:hint="eastAsia"/>
          <w:sz w:val="24"/>
        </w:rPr>
        <w:t>二、机构设置</w:t>
      </w:r>
      <w:r>
        <w:rPr>
          <w:rFonts w:cs="Arial"/>
          <w:sz w:val="24"/>
        </w:rPr>
        <w:tab/>
      </w:r>
      <w:r>
        <w:rPr>
          <w:rFonts w:cs="Arial" w:hint="eastAsia"/>
          <w:sz w:val="24"/>
        </w:rPr>
        <w:t>4</w:t>
      </w:r>
    </w:p>
    <w:p w:rsidR="005420E7" w:rsidRDefault="00461B4F">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年度单位决算情况说明</w:t>
      </w:r>
      <w:r>
        <w:rPr>
          <w:rFonts w:cs="Arial"/>
          <w:sz w:val="24"/>
          <w:szCs w:val="24"/>
        </w:rPr>
        <w:tab/>
      </w:r>
      <w:r>
        <w:rPr>
          <w:rFonts w:cs="Arial" w:hint="eastAsia"/>
          <w:sz w:val="24"/>
          <w:szCs w:val="24"/>
        </w:rPr>
        <w:t>5</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一、收入支出决算总体情况说明</w:t>
      </w:r>
      <w:r>
        <w:rPr>
          <w:rFonts w:cs="Arial"/>
          <w:sz w:val="24"/>
        </w:rPr>
        <w:tab/>
      </w:r>
      <w:r>
        <w:rPr>
          <w:rFonts w:cs="Arial" w:hint="eastAsia"/>
          <w:sz w:val="24"/>
        </w:rPr>
        <w:t>5</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二、收入决算情况说明</w:t>
      </w:r>
      <w:r>
        <w:rPr>
          <w:rFonts w:cs="Arial"/>
          <w:sz w:val="24"/>
        </w:rPr>
        <w:tab/>
      </w:r>
      <w:r>
        <w:rPr>
          <w:rFonts w:cs="Arial" w:hint="eastAsia"/>
          <w:sz w:val="24"/>
        </w:rPr>
        <w:t>5</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三、支出决算情况说明</w:t>
      </w:r>
      <w:r>
        <w:rPr>
          <w:rFonts w:cs="Arial"/>
          <w:sz w:val="24"/>
        </w:rPr>
        <w:tab/>
      </w:r>
      <w:r>
        <w:rPr>
          <w:rFonts w:cs="Arial" w:hint="eastAsia"/>
          <w:sz w:val="24"/>
        </w:rPr>
        <w:t>6</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四、财政拨款收入支出决算总体情况说明</w:t>
      </w:r>
      <w:r>
        <w:rPr>
          <w:rFonts w:cs="Arial"/>
          <w:sz w:val="24"/>
        </w:rPr>
        <w:tab/>
      </w:r>
      <w:r>
        <w:rPr>
          <w:rFonts w:cs="Arial" w:hint="eastAsia"/>
          <w:sz w:val="24"/>
        </w:rPr>
        <w:t>6</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r>
        <w:rPr>
          <w:rFonts w:cs="Arial"/>
          <w:sz w:val="24"/>
        </w:rPr>
        <w:tab/>
      </w:r>
      <w:r>
        <w:rPr>
          <w:rFonts w:cs="Arial" w:hint="eastAsia"/>
          <w:sz w:val="24"/>
        </w:rPr>
        <w:t>7</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r>
        <w:rPr>
          <w:rFonts w:cs="Arial"/>
          <w:sz w:val="24"/>
        </w:rPr>
        <w:tab/>
      </w:r>
      <w:r>
        <w:rPr>
          <w:rFonts w:cs="Arial" w:hint="eastAsia"/>
          <w:sz w:val="24"/>
        </w:rPr>
        <w:t>9</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七、财政拨款“三公”经费支出决算情况说明</w:t>
      </w:r>
      <w:r>
        <w:rPr>
          <w:rFonts w:cs="Arial"/>
          <w:sz w:val="24"/>
        </w:rPr>
        <w:tab/>
      </w:r>
      <w:r>
        <w:rPr>
          <w:rFonts w:cs="Arial" w:hint="eastAsia"/>
          <w:sz w:val="24"/>
        </w:rPr>
        <w:t>9</w:t>
      </w:r>
    </w:p>
    <w:p w:rsidR="005420E7" w:rsidRDefault="00461B4F" w:rsidP="00822521">
      <w:pPr>
        <w:pStyle w:val="20"/>
        <w:adjustRightInd w:val="0"/>
        <w:snapToGrid w:val="0"/>
        <w:spacing w:line="440" w:lineRule="exact"/>
        <w:ind w:left="420"/>
        <w:jc w:val="left"/>
        <w:rPr>
          <w:rFonts w:ascii="仿宋" w:eastAsia="仿宋" w:cs="Arial"/>
          <w:sz w:val="24"/>
        </w:rPr>
      </w:pPr>
      <w:r>
        <w:rPr>
          <w:rFonts w:hint="eastAsia"/>
          <w:sz w:val="24"/>
        </w:rPr>
        <w:t>八、政府性基金预算支出决算情况说明</w:t>
      </w:r>
      <w:r>
        <w:rPr>
          <w:rFonts w:cs="Arial"/>
          <w:sz w:val="24"/>
        </w:rPr>
        <w:tab/>
      </w:r>
      <w:r>
        <w:rPr>
          <w:rFonts w:cs="Arial" w:hint="eastAsia"/>
          <w:sz w:val="24"/>
        </w:rPr>
        <w:t>11</w:t>
      </w:r>
    </w:p>
    <w:p w:rsidR="005420E7" w:rsidRDefault="00461B4F" w:rsidP="00822521">
      <w:pPr>
        <w:pStyle w:val="20"/>
        <w:adjustRightInd w:val="0"/>
        <w:snapToGrid w:val="0"/>
        <w:spacing w:line="440" w:lineRule="exact"/>
        <w:ind w:left="420"/>
        <w:jc w:val="left"/>
        <w:rPr>
          <w:sz w:val="24"/>
        </w:rPr>
      </w:pPr>
      <w:r>
        <w:rPr>
          <w:rFonts w:hint="eastAsia"/>
          <w:sz w:val="24"/>
        </w:rPr>
        <w:t>九、国有资本经营预算支出决算情况说明</w:t>
      </w:r>
      <w:r>
        <w:rPr>
          <w:rFonts w:cs="Arial"/>
          <w:sz w:val="24"/>
        </w:rPr>
        <w:tab/>
      </w:r>
      <w:r>
        <w:rPr>
          <w:rFonts w:cs="Arial" w:hint="eastAsia"/>
          <w:sz w:val="24"/>
        </w:rPr>
        <w:t>11</w:t>
      </w:r>
    </w:p>
    <w:p w:rsidR="005420E7" w:rsidRDefault="00461B4F" w:rsidP="00822521">
      <w:pPr>
        <w:pStyle w:val="20"/>
        <w:adjustRightInd w:val="0"/>
        <w:snapToGrid w:val="0"/>
        <w:spacing w:line="440" w:lineRule="exact"/>
        <w:ind w:left="420"/>
        <w:jc w:val="left"/>
        <w:rPr>
          <w:sz w:val="24"/>
        </w:rPr>
      </w:pPr>
      <w:r>
        <w:rPr>
          <w:rFonts w:hint="eastAsia"/>
          <w:sz w:val="24"/>
        </w:rPr>
        <w:t>十、其他重要事项的情况说明</w:t>
      </w:r>
      <w:r>
        <w:rPr>
          <w:rFonts w:cs="Arial"/>
          <w:sz w:val="24"/>
        </w:rPr>
        <w:tab/>
      </w:r>
      <w:r>
        <w:rPr>
          <w:rFonts w:cs="Arial" w:hint="eastAsia"/>
          <w:sz w:val="24"/>
        </w:rPr>
        <w:t>11</w:t>
      </w:r>
    </w:p>
    <w:p w:rsidR="005420E7" w:rsidRDefault="00461B4F">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r>
        <w:rPr>
          <w:rFonts w:cs="Arial"/>
          <w:sz w:val="24"/>
          <w:szCs w:val="24"/>
        </w:rPr>
        <w:tab/>
      </w:r>
      <w:r>
        <w:rPr>
          <w:rFonts w:cs="Arial" w:hint="eastAsia"/>
          <w:sz w:val="24"/>
          <w:szCs w:val="24"/>
        </w:rPr>
        <w:t>13</w:t>
      </w:r>
    </w:p>
    <w:p w:rsidR="005420E7" w:rsidRDefault="00461B4F">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cs="Arial"/>
          <w:sz w:val="24"/>
          <w:szCs w:val="24"/>
        </w:rPr>
        <w:tab/>
      </w:r>
      <w:r>
        <w:rPr>
          <w:rFonts w:cs="Arial" w:hint="eastAsia"/>
          <w:sz w:val="24"/>
          <w:szCs w:val="24"/>
        </w:rPr>
        <w:t>15</w:t>
      </w:r>
    </w:p>
    <w:p w:rsidR="005420E7" w:rsidRDefault="00461B4F">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cs="Arial"/>
          <w:sz w:val="24"/>
          <w:szCs w:val="24"/>
        </w:rPr>
        <w:tab/>
      </w:r>
      <w:r>
        <w:rPr>
          <w:rFonts w:cs="Arial" w:hint="eastAsia"/>
          <w:sz w:val="24"/>
          <w:szCs w:val="24"/>
        </w:rPr>
        <w:t>16</w:t>
      </w:r>
    </w:p>
    <w:p w:rsidR="005420E7" w:rsidRDefault="00461B4F" w:rsidP="00822521">
      <w:pPr>
        <w:pStyle w:val="20"/>
        <w:adjustRightInd w:val="0"/>
        <w:snapToGrid w:val="0"/>
        <w:spacing w:line="440" w:lineRule="exact"/>
        <w:ind w:left="420"/>
        <w:jc w:val="left"/>
        <w:rPr>
          <w:sz w:val="24"/>
        </w:rPr>
      </w:pPr>
      <w:r>
        <w:rPr>
          <w:rFonts w:hint="eastAsia"/>
          <w:sz w:val="24"/>
        </w:rPr>
        <w:t>一、收入支出决算总表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二、收入决算表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三、支出决算表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四、财政拨款收入支出决算总表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五、财政拨款支出决算明细表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六、一般公共预算财政拨款支出决算表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七、一般公共预算财政拨款支出决算明细表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八、一般公共预算财政拨款基本支出决算明细表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九、一般公共预算财政拨款项目支出决算表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lastRenderedPageBreak/>
        <w:t>十、政府性基金预算财政拨款收入支出决算表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十一、国有资本经营预算财政拨款收入支出决算表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十二、国有资本经营预算财政拨款支出决算表</w:t>
      </w:r>
      <w:r>
        <w:rPr>
          <w:rFonts w:cs="Arial"/>
          <w:sz w:val="24"/>
        </w:rPr>
        <w:tab/>
      </w:r>
      <w:r>
        <w:rPr>
          <w:rFonts w:cs="Arial" w:hint="eastAsia"/>
          <w:sz w:val="24"/>
        </w:rPr>
        <w:t>16</w:t>
      </w:r>
    </w:p>
    <w:p w:rsidR="005420E7" w:rsidRDefault="00461B4F" w:rsidP="00822521">
      <w:pPr>
        <w:pStyle w:val="20"/>
        <w:adjustRightInd w:val="0"/>
        <w:snapToGrid w:val="0"/>
        <w:spacing w:line="440" w:lineRule="exact"/>
        <w:ind w:left="420"/>
        <w:jc w:val="left"/>
        <w:rPr>
          <w:sz w:val="24"/>
        </w:rPr>
      </w:pPr>
      <w:r>
        <w:rPr>
          <w:rFonts w:hint="eastAsia"/>
          <w:sz w:val="24"/>
        </w:rPr>
        <w:t>十三、财政拨款“三公”经费支出决算表</w:t>
      </w:r>
      <w:r>
        <w:rPr>
          <w:rFonts w:cs="Arial"/>
          <w:sz w:val="24"/>
        </w:rPr>
        <w:tab/>
      </w:r>
      <w:r>
        <w:rPr>
          <w:rFonts w:cs="Arial" w:hint="eastAsia"/>
          <w:sz w:val="24"/>
        </w:rPr>
        <w:t>16</w:t>
      </w:r>
    </w:p>
    <w:p w:rsidR="005420E7" w:rsidRDefault="00461B4F">
      <w:pPr>
        <w:widowControl/>
        <w:spacing w:line="440" w:lineRule="exact"/>
        <w:jc w:val="left"/>
        <w:rPr>
          <w:rFonts w:ascii="仿宋" w:eastAsia="仿宋"/>
          <w:bCs/>
          <w:kern w:val="44"/>
          <w:sz w:val="24"/>
        </w:rPr>
      </w:pPr>
      <w:bookmarkStart w:id="13" w:name="_Toc15396599"/>
      <w:bookmarkStart w:id="14" w:name="_Toc15377196"/>
      <w:r>
        <w:rPr>
          <w:rFonts w:ascii="仿宋" w:eastAsia="仿宋"/>
          <w:b/>
          <w:sz w:val="24"/>
        </w:rPr>
        <w:br w:type="page"/>
      </w:r>
    </w:p>
    <w:p w:rsidR="005420E7" w:rsidRDefault="00461B4F">
      <w:pPr>
        <w:pStyle w:val="1"/>
        <w:jc w:val="center"/>
        <w:rPr>
          <w:rFonts w:ascii="黑体" w:eastAsia="黑体"/>
          <w:bCs w:val="0"/>
        </w:rPr>
      </w:pPr>
      <w:r>
        <w:rPr>
          <w:rFonts w:ascii="黑体" w:eastAsia="黑体" w:hint="eastAsia"/>
          <w:b w:val="0"/>
        </w:rPr>
        <w:lastRenderedPageBreak/>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13"/>
      <w:bookmarkEnd w:id="14"/>
    </w:p>
    <w:p w:rsidR="005420E7" w:rsidRDefault="00461B4F">
      <w:pPr>
        <w:pStyle w:val="2"/>
        <w:numPr>
          <w:ilvl w:val="0"/>
          <w:numId w:val="1"/>
        </w:numPr>
        <w:spacing w:before="0" w:after="0" w:line="600" w:lineRule="exact"/>
        <w:rPr>
          <w:rStyle w:val="2Char"/>
          <w:rFonts w:ascii="黑体" w:eastAsia="黑体"/>
        </w:rPr>
      </w:pPr>
      <w:bookmarkStart w:id="15" w:name="_Toc15396600"/>
      <w:bookmarkStart w:id="16" w:name="_Toc15377197"/>
      <w:r>
        <w:rPr>
          <w:rStyle w:val="2Char"/>
          <w:rFonts w:ascii="黑体" w:eastAsia="黑体" w:hint="eastAsia"/>
        </w:rPr>
        <w:t>主要职责</w:t>
      </w:r>
    </w:p>
    <w:p w:rsidR="005420E7" w:rsidRDefault="00461B4F">
      <w:pPr>
        <w:spacing w:line="600" w:lineRule="exact"/>
        <w:rPr>
          <w:rFonts w:ascii="仿宋" w:eastAsia="仿宋"/>
          <w:sz w:val="32"/>
          <w:szCs w:val="32"/>
        </w:rPr>
      </w:pPr>
      <w:r>
        <w:rPr>
          <w:rFonts w:ascii="仿宋" w:eastAsia="仿宋" w:hint="eastAsia"/>
          <w:sz w:val="32"/>
          <w:szCs w:val="32"/>
        </w:rPr>
        <w:t xml:space="preserve">   </w:t>
      </w:r>
      <w:r>
        <w:rPr>
          <w:rFonts w:ascii="仿宋" w:eastAsia="仿宋" w:hint="eastAsia"/>
          <w:sz w:val="32"/>
          <w:szCs w:val="32"/>
        </w:rPr>
        <w:t>负责全市数字（智慧）城管、</w:t>
      </w:r>
      <w:r>
        <w:rPr>
          <w:rFonts w:ascii="仿宋" w:eastAsia="仿宋" w:hint="eastAsia"/>
          <w:sz w:val="32"/>
          <w:szCs w:val="32"/>
        </w:rPr>
        <w:t>12345</w:t>
      </w:r>
      <w:r>
        <w:rPr>
          <w:rFonts w:ascii="仿宋" w:eastAsia="仿宋" w:hint="eastAsia"/>
          <w:sz w:val="32"/>
          <w:szCs w:val="32"/>
        </w:rPr>
        <w:t>热线的运行管理、技保、考核评价；负责采集、派遣、督办城市问题；开展综合民生政务热线服务，推动民生政务服务资源优化配置。</w:t>
      </w:r>
    </w:p>
    <w:p w:rsidR="005420E7" w:rsidRDefault="00461B4F">
      <w:pPr>
        <w:pStyle w:val="2"/>
        <w:spacing w:before="0" w:after="0" w:line="600" w:lineRule="exact"/>
        <w:rPr>
          <w:rFonts w:ascii="黑体" w:eastAsia="黑体"/>
          <w:b w:val="0"/>
        </w:rPr>
      </w:pPr>
      <w:r>
        <w:rPr>
          <w:rFonts w:ascii="黑体" w:eastAsia="黑体" w:hint="eastAsia"/>
          <w:b w:val="0"/>
        </w:rPr>
        <w:t>二、机构设置</w:t>
      </w:r>
    </w:p>
    <w:p w:rsidR="005420E7" w:rsidRDefault="00461B4F">
      <w:pPr>
        <w:spacing w:line="600" w:lineRule="exact"/>
        <w:ind w:firstLineChars="200" w:firstLine="640"/>
        <w:rPr>
          <w:rFonts w:ascii="仿宋" w:eastAsia="仿宋"/>
          <w:sz w:val="32"/>
          <w:szCs w:val="32"/>
        </w:rPr>
      </w:pPr>
      <w:r>
        <w:rPr>
          <w:rFonts w:ascii="仿宋" w:eastAsia="仿宋" w:hint="eastAsia"/>
          <w:sz w:val="32"/>
          <w:szCs w:val="32"/>
        </w:rPr>
        <w:t>根据《中共攀枝花市委机构编制委员会关于明确市城管执法局所属事业单位有关机构编制事项的通知》（攀编发〔</w:t>
      </w:r>
      <w:r>
        <w:rPr>
          <w:rFonts w:ascii="仿宋" w:eastAsia="仿宋" w:hint="eastAsia"/>
          <w:sz w:val="32"/>
          <w:szCs w:val="32"/>
        </w:rPr>
        <w:t>2019</w:t>
      </w:r>
      <w:r>
        <w:rPr>
          <w:rFonts w:ascii="仿宋" w:eastAsia="仿宋" w:hint="eastAsia"/>
          <w:sz w:val="32"/>
          <w:szCs w:val="32"/>
        </w:rPr>
        <w:t>〕</w:t>
      </w:r>
      <w:r>
        <w:rPr>
          <w:rFonts w:ascii="仿宋" w:eastAsia="仿宋" w:hint="eastAsia"/>
          <w:sz w:val="32"/>
          <w:szCs w:val="32"/>
        </w:rPr>
        <w:t>26</w:t>
      </w:r>
      <w:r>
        <w:rPr>
          <w:rFonts w:ascii="仿宋" w:eastAsia="仿宋" w:hint="eastAsia"/>
          <w:sz w:val="32"/>
          <w:szCs w:val="32"/>
        </w:rPr>
        <w:t>号）文件精神，将市数字化城市监督指挥中心与市市民热线受理中心整合，设立攀枝花市数字化城市联动指挥中心，加挂“攀枝花市</w:t>
      </w:r>
      <w:r>
        <w:rPr>
          <w:rFonts w:ascii="仿宋" w:eastAsia="仿宋" w:hint="eastAsia"/>
          <w:sz w:val="32"/>
          <w:szCs w:val="32"/>
        </w:rPr>
        <w:t>12345</w:t>
      </w:r>
      <w:r>
        <w:rPr>
          <w:rFonts w:ascii="仿宋" w:eastAsia="仿宋" w:hint="eastAsia"/>
          <w:sz w:val="32"/>
          <w:szCs w:val="32"/>
        </w:rPr>
        <w:t>智慧民生政务热线运行中心”牌子，为市城管执法局所属公益一类事业单位。</w:t>
      </w:r>
      <w:r>
        <w:rPr>
          <w:rFonts w:ascii="仿宋" w:eastAsia="仿宋"/>
          <w:sz w:val="32"/>
          <w:szCs w:val="32"/>
        </w:rPr>
        <w:t>核定事业编制</w:t>
      </w:r>
      <w:r>
        <w:rPr>
          <w:rFonts w:ascii="仿宋" w:eastAsia="仿宋"/>
          <w:sz w:val="32"/>
          <w:szCs w:val="32"/>
        </w:rPr>
        <w:t xml:space="preserve"> 15 </w:t>
      </w:r>
      <w:r>
        <w:rPr>
          <w:rFonts w:ascii="仿宋" w:eastAsia="仿宋"/>
          <w:sz w:val="32"/>
          <w:szCs w:val="32"/>
        </w:rPr>
        <w:t>名（其中</w:t>
      </w:r>
      <w:r>
        <w:rPr>
          <w:rFonts w:ascii="仿宋" w:eastAsia="仿宋"/>
          <w:sz w:val="32"/>
          <w:szCs w:val="32"/>
        </w:rPr>
        <w:t xml:space="preserve"> 10 </w:t>
      </w:r>
      <w:r>
        <w:rPr>
          <w:rFonts w:ascii="仿宋" w:eastAsia="仿宋"/>
          <w:sz w:val="32"/>
          <w:szCs w:val="32"/>
        </w:rPr>
        <w:t>名从市数字化城市监督指挥中心连人带编划转），</w:t>
      </w:r>
      <w:r>
        <w:rPr>
          <w:rFonts w:ascii="仿宋" w:eastAsia="仿宋"/>
          <w:sz w:val="32"/>
          <w:szCs w:val="32"/>
        </w:rPr>
        <w:t xml:space="preserve"> </w:t>
      </w:r>
      <w:r>
        <w:rPr>
          <w:rFonts w:ascii="仿宋" w:eastAsia="仿宋"/>
          <w:sz w:val="32"/>
          <w:szCs w:val="32"/>
        </w:rPr>
        <w:t>核定党政领导职数</w:t>
      </w:r>
      <w:r>
        <w:rPr>
          <w:rFonts w:ascii="仿宋" w:eastAsia="仿宋"/>
          <w:sz w:val="32"/>
          <w:szCs w:val="32"/>
        </w:rPr>
        <w:t xml:space="preserve"> 2</w:t>
      </w:r>
      <w:r>
        <w:rPr>
          <w:rFonts w:ascii="仿宋" w:eastAsia="仿宋"/>
          <w:sz w:val="32"/>
          <w:szCs w:val="32"/>
        </w:rPr>
        <w:t>名（正职按正科级干部管理）</w:t>
      </w:r>
      <w:r>
        <w:rPr>
          <w:rFonts w:ascii="仿宋" w:eastAsia="仿宋"/>
          <w:sz w:val="32"/>
          <w:szCs w:val="32"/>
        </w:rPr>
        <w:t xml:space="preserve"> </w:t>
      </w:r>
      <w:r>
        <w:rPr>
          <w:rFonts w:ascii="仿宋" w:eastAsia="仿宋" w:hint="eastAsia"/>
          <w:sz w:val="32"/>
          <w:szCs w:val="32"/>
        </w:rPr>
        <w:t>。</w:t>
      </w:r>
    </w:p>
    <w:p w:rsidR="005420E7" w:rsidRDefault="00461B4F">
      <w:pPr>
        <w:spacing w:line="600" w:lineRule="exact"/>
        <w:ind w:firstLineChars="200" w:firstLine="640"/>
        <w:rPr>
          <w:rFonts w:ascii="仿宋" w:eastAsia="仿宋"/>
          <w:sz w:val="32"/>
          <w:szCs w:val="32"/>
        </w:rPr>
      </w:pPr>
      <w:r>
        <w:rPr>
          <w:rFonts w:ascii="仿宋" w:eastAsia="仿宋" w:hint="eastAsia"/>
          <w:sz w:val="32"/>
          <w:szCs w:val="32"/>
        </w:rPr>
        <w:t>根据《</w:t>
      </w:r>
      <w:r>
        <w:rPr>
          <w:rFonts w:ascii="仿宋" w:eastAsia="仿宋"/>
          <w:sz w:val="32"/>
          <w:szCs w:val="32"/>
        </w:rPr>
        <w:t>中共攀枝花市委机构编制委员会关于调整市数字化城市联动指挥中心有关</w:t>
      </w:r>
      <w:r>
        <w:rPr>
          <w:rFonts w:ascii="仿宋" w:eastAsia="仿宋"/>
          <w:sz w:val="32"/>
          <w:szCs w:val="32"/>
        </w:rPr>
        <w:t>机构编制事项的批复</w:t>
      </w:r>
      <w:r>
        <w:rPr>
          <w:rFonts w:ascii="仿宋" w:eastAsia="仿宋" w:hint="eastAsia"/>
          <w:sz w:val="32"/>
          <w:szCs w:val="32"/>
        </w:rPr>
        <w:t>》</w:t>
      </w:r>
      <w:r>
        <w:rPr>
          <w:rFonts w:ascii="仿宋" w:eastAsia="仿宋"/>
          <w:sz w:val="32"/>
          <w:szCs w:val="32"/>
        </w:rPr>
        <w:t>攀编发〔</w:t>
      </w:r>
      <w:r>
        <w:rPr>
          <w:rFonts w:ascii="仿宋" w:eastAsia="仿宋"/>
          <w:sz w:val="32"/>
          <w:szCs w:val="32"/>
        </w:rPr>
        <w:t xml:space="preserve"> 2022</w:t>
      </w:r>
      <w:r>
        <w:rPr>
          <w:rFonts w:ascii="仿宋" w:eastAsia="仿宋"/>
          <w:sz w:val="32"/>
          <w:szCs w:val="32"/>
        </w:rPr>
        <w:t>〕</w:t>
      </w:r>
      <w:r>
        <w:rPr>
          <w:rFonts w:ascii="仿宋" w:eastAsia="仿宋"/>
          <w:sz w:val="32"/>
          <w:szCs w:val="32"/>
        </w:rPr>
        <w:t>40</w:t>
      </w:r>
      <w:r>
        <w:rPr>
          <w:rFonts w:ascii="仿宋" w:eastAsia="仿宋"/>
          <w:sz w:val="32"/>
          <w:szCs w:val="32"/>
        </w:rPr>
        <w:t>号</w:t>
      </w:r>
      <w:r>
        <w:rPr>
          <w:rFonts w:ascii="仿宋" w:eastAsia="仿宋" w:hint="eastAsia"/>
          <w:sz w:val="32"/>
          <w:szCs w:val="32"/>
        </w:rPr>
        <w:t>文件精神，</w:t>
      </w:r>
      <w:r>
        <w:rPr>
          <w:rFonts w:ascii="仿宋" w:eastAsia="仿宋"/>
          <w:sz w:val="32"/>
          <w:szCs w:val="32"/>
        </w:rPr>
        <w:t>攀枝花市数字化城市联动指挥中心增加事业编制</w:t>
      </w:r>
      <w:r>
        <w:rPr>
          <w:rFonts w:ascii="仿宋" w:eastAsia="仿宋"/>
          <w:sz w:val="32"/>
          <w:szCs w:val="32"/>
        </w:rPr>
        <w:t xml:space="preserve"> 2 </w:t>
      </w:r>
      <w:r>
        <w:rPr>
          <w:rFonts w:ascii="仿宋" w:eastAsia="仿宋"/>
          <w:sz w:val="32"/>
          <w:szCs w:val="32"/>
        </w:rPr>
        <w:t>名（</w:t>
      </w:r>
      <w:r>
        <w:rPr>
          <w:rFonts w:ascii="仿宋" w:eastAsia="仿宋"/>
          <w:sz w:val="32"/>
          <w:szCs w:val="32"/>
        </w:rPr>
        <w:t xml:space="preserve"> </w:t>
      </w:r>
      <w:r>
        <w:rPr>
          <w:rFonts w:ascii="仿宋" w:eastAsia="仿宋"/>
          <w:sz w:val="32"/>
          <w:szCs w:val="32"/>
        </w:rPr>
        <w:t>从攀枝花市园林绿化服务中心划转），</w:t>
      </w:r>
      <w:r>
        <w:rPr>
          <w:rFonts w:ascii="仿宋" w:eastAsia="仿宋"/>
          <w:sz w:val="32"/>
          <w:szCs w:val="32"/>
        </w:rPr>
        <w:t xml:space="preserve"> </w:t>
      </w:r>
      <w:r>
        <w:rPr>
          <w:rFonts w:ascii="仿宋" w:eastAsia="仿宋"/>
          <w:sz w:val="32"/>
          <w:szCs w:val="32"/>
        </w:rPr>
        <w:t>增核副主任</w:t>
      </w:r>
      <w:r>
        <w:rPr>
          <w:rFonts w:ascii="仿宋" w:eastAsia="仿宋"/>
          <w:sz w:val="32"/>
          <w:szCs w:val="32"/>
        </w:rPr>
        <w:t xml:space="preserve"> 1 </w:t>
      </w:r>
      <w:r>
        <w:rPr>
          <w:rFonts w:ascii="仿宋" w:eastAsia="仿宋"/>
          <w:sz w:val="32"/>
          <w:szCs w:val="32"/>
        </w:rPr>
        <w:t>名（</w:t>
      </w:r>
      <w:r>
        <w:rPr>
          <w:rFonts w:ascii="仿宋" w:eastAsia="仿宋"/>
          <w:sz w:val="32"/>
          <w:szCs w:val="32"/>
        </w:rPr>
        <w:t xml:space="preserve"> </w:t>
      </w:r>
      <w:r>
        <w:rPr>
          <w:rFonts w:ascii="仿宋" w:eastAsia="仿宋"/>
          <w:sz w:val="32"/>
          <w:szCs w:val="32"/>
        </w:rPr>
        <w:t>副科级）。调整后，</w:t>
      </w:r>
      <w:r>
        <w:rPr>
          <w:rFonts w:ascii="仿宋" w:eastAsia="仿宋"/>
          <w:sz w:val="32"/>
          <w:szCs w:val="32"/>
        </w:rPr>
        <w:t xml:space="preserve"> </w:t>
      </w:r>
      <w:r>
        <w:rPr>
          <w:rFonts w:ascii="仿宋" w:eastAsia="仿宋"/>
          <w:sz w:val="32"/>
          <w:szCs w:val="32"/>
        </w:rPr>
        <w:t>攀枝花市数字化城市联动指挥中心共有事业编制</w:t>
      </w:r>
      <w:r>
        <w:rPr>
          <w:rFonts w:ascii="仿宋" w:eastAsia="仿宋"/>
          <w:sz w:val="32"/>
          <w:szCs w:val="32"/>
        </w:rPr>
        <w:t xml:space="preserve"> 17</w:t>
      </w:r>
      <w:r>
        <w:rPr>
          <w:rFonts w:ascii="仿宋" w:eastAsia="仿宋"/>
          <w:sz w:val="32"/>
          <w:szCs w:val="32"/>
        </w:rPr>
        <w:t>名，</w:t>
      </w:r>
      <w:r>
        <w:rPr>
          <w:rFonts w:ascii="仿宋" w:eastAsia="仿宋"/>
          <w:sz w:val="32"/>
          <w:szCs w:val="32"/>
        </w:rPr>
        <w:t xml:space="preserve"> </w:t>
      </w:r>
      <w:r>
        <w:rPr>
          <w:rFonts w:ascii="仿宋" w:eastAsia="仿宋"/>
          <w:sz w:val="32"/>
          <w:szCs w:val="32"/>
        </w:rPr>
        <w:t>党政领导职数</w:t>
      </w:r>
      <w:r>
        <w:rPr>
          <w:rFonts w:ascii="仿宋" w:eastAsia="仿宋"/>
          <w:sz w:val="32"/>
          <w:szCs w:val="32"/>
        </w:rPr>
        <w:t xml:space="preserve"> 3 </w:t>
      </w:r>
      <w:r>
        <w:rPr>
          <w:rFonts w:ascii="仿宋" w:eastAsia="仿宋"/>
          <w:sz w:val="32"/>
          <w:szCs w:val="32"/>
        </w:rPr>
        <w:t>名；其他机构编制事项维持不变。</w:t>
      </w:r>
      <w:bookmarkEnd w:id="15"/>
      <w:bookmarkEnd w:id="16"/>
    </w:p>
    <w:p w:rsidR="005420E7" w:rsidRDefault="00461B4F">
      <w:pPr>
        <w:pStyle w:val="1"/>
        <w:ind w:right="440"/>
        <w:jc w:val="center"/>
        <w:rPr>
          <w:rFonts w:ascii="黑体" w:eastAsia="黑体"/>
          <w:b w:val="0"/>
        </w:rPr>
      </w:pPr>
      <w:bookmarkStart w:id="17" w:name="_Toc15377204"/>
      <w:bookmarkStart w:id="18" w:name="_Toc15396602"/>
      <w:r>
        <w:rPr>
          <w:rFonts w:ascii="黑体" w:eastAsia="黑体" w:hint="eastAsia"/>
          <w:b w:val="0"/>
        </w:rPr>
        <w:lastRenderedPageBreak/>
        <w:t>第二部分</w:t>
      </w:r>
      <w:r>
        <w:rPr>
          <w:rFonts w:ascii="黑体" w:eastAsia="黑体" w:hint="eastAsia"/>
          <w:b w:val="0"/>
        </w:rPr>
        <w:t xml:space="preserve"> 2022</w:t>
      </w:r>
      <w:r>
        <w:rPr>
          <w:rFonts w:ascii="黑体" w:eastAsia="黑体" w:hint="eastAsia"/>
          <w:b w:val="0"/>
        </w:rPr>
        <w:t>年度</w:t>
      </w:r>
      <w:r>
        <w:rPr>
          <w:rStyle w:val="1Char"/>
          <w:rFonts w:ascii="黑体" w:eastAsia="黑体" w:hint="eastAsia"/>
          <w:bCs/>
        </w:rPr>
        <w:t>单位决算情况说明</w:t>
      </w:r>
      <w:bookmarkEnd w:id="17"/>
      <w:bookmarkEnd w:id="18"/>
    </w:p>
    <w:p w:rsidR="005420E7" w:rsidRDefault="00461B4F">
      <w:pPr>
        <w:pStyle w:val="a9"/>
        <w:numPr>
          <w:ilvl w:val="0"/>
          <w:numId w:val="2"/>
        </w:numPr>
        <w:spacing w:line="600" w:lineRule="exact"/>
        <w:ind w:firstLineChars="0"/>
        <w:outlineLvl w:val="1"/>
        <w:rPr>
          <w:rStyle w:val="2Char"/>
          <w:rFonts w:ascii="黑体" w:eastAsia="黑体"/>
          <w:b w:val="0"/>
        </w:rPr>
      </w:pPr>
      <w:bookmarkStart w:id="19" w:name="_Toc15377205"/>
      <w:bookmarkStart w:id="20" w:name="_Toc15396603"/>
      <w:r>
        <w:rPr>
          <w:rFonts w:ascii="黑体" w:eastAsia="黑体" w:hint="eastAsia"/>
          <w:sz w:val="32"/>
          <w:szCs w:val="32"/>
        </w:rPr>
        <w:t>收</w:t>
      </w:r>
      <w:r>
        <w:rPr>
          <w:rStyle w:val="2Char"/>
          <w:rFonts w:ascii="黑体" w:eastAsia="黑体" w:hint="eastAsia"/>
          <w:b w:val="0"/>
        </w:rPr>
        <w:t>入支出决算总体情况说明</w:t>
      </w:r>
      <w:bookmarkEnd w:id="19"/>
      <w:bookmarkEnd w:id="20"/>
    </w:p>
    <w:p w:rsidR="005420E7" w:rsidRDefault="00461B4F">
      <w:pPr>
        <w:spacing w:line="600" w:lineRule="exact"/>
        <w:ind w:firstLineChars="200" w:firstLine="640"/>
        <w:rPr>
          <w:rFonts w:ascii="仿宋" w:eastAsia="仿宋"/>
          <w:sz w:val="32"/>
          <w:szCs w:val="32"/>
        </w:rPr>
      </w:pPr>
      <w:r>
        <w:rPr>
          <w:rFonts w:ascii="仿宋" w:eastAsia="仿宋" w:hint="eastAsia"/>
          <w:sz w:val="32"/>
          <w:szCs w:val="32"/>
        </w:rPr>
        <w:t>2022</w:t>
      </w:r>
      <w:r>
        <w:rPr>
          <w:rFonts w:ascii="仿宋" w:eastAsia="仿宋" w:hint="eastAsia"/>
          <w:sz w:val="32"/>
          <w:szCs w:val="32"/>
        </w:rPr>
        <w:t>年度收、支总计</w:t>
      </w:r>
      <w:r>
        <w:rPr>
          <w:rFonts w:ascii="仿宋" w:eastAsia="仿宋" w:hint="eastAsia"/>
          <w:sz w:val="32"/>
          <w:szCs w:val="32"/>
        </w:rPr>
        <w:t>331.8</w:t>
      </w:r>
      <w:r>
        <w:rPr>
          <w:rFonts w:ascii="仿宋" w:eastAsia="仿宋" w:hint="eastAsia"/>
          <w:sz w:val="32"/>
          <w:szCs w:val="32"/>
        </w:rPr>
        <w:t>万元。与</w:t>
      </w:r>
      <w:r>
        <w:rPr>
          <w:rFonts w:ascii="仿宋" w:eastAsia="仿宋" w:hint="eastAsia"/>
          <w:sz w:val="32"/>
          <w:szCs w:val="32"/>
        </w:rPr>
        <w:t>2021</w:t>
      </w:r>
      <w:r>
        <w:rPr>
          <w:rFonts w:ascii="仿宋" w:eastAsia="仿宋" w:hint="eastAsia"/>
          <w:sz w:val="32"/>
          <w:szCs w:val="32"/>
        </w:rPr>
        <w:t>年相比，收、支总计增加了</w:t>
      </w:r>
      <w:r>
        <w:rPr>
          <w:rFonts w:ascii="仿宋" w:eastAsia="仿宋" w:hint="eastAsia"/>
          <w:sz w:val="32"/>
          <w:szCs w:val="32"/>
        </w:rPr>
        <w:t>52.02</w:t>
      </w:r>
      <w:r>
        <w:rPr>
          <w:rFonts w:ascii="仿宋" w:eastAsia="仿宋" w:hint="eastAsia"/>
          <w:sz w:val="32"/>
          <w:szCs w:val="32"/>
        </w:rPr>
        <w:t>万元，增长了</w:t>
      </w:r>
      <w:r>
        <w:rPr>
          <w:rFonts w:ascii="仿宋" w:eastAsia="仿宋" w:hint="eastAsia"/>
          <w:sz w:val="32"/>
          <w:szCs w:val="32"/>
        </w:rPr>
        <w:t>23.69%</w:t>
      </w:r>
      <w:r>
        <w:rPr>
          <w:rFonts w:ascii="仿宋" w:eastAsia="仿宋" w:hint="eastAsia"/>
          <w:sz w:val="32"/>
          <w:szCs w:val="32"/>
        </w:rPr>
        <w:t>。主要变动原因是根据合同支付了数字城管信息系统等项目服务外包费。</w:t>
      </w:r>
    </w:p>
    <w:p w:rsidR="005420E7" w:rsidRDefault="00461B4F">
      <w:pPr>
        <w:widowControl/>
        <w:jc w:val="left"/>
        <w:rPr>
          <w:rFonts w:ascii="宋体" w:cs="宋体"/>
          <w:kern w:val="0"/>
          <w:sz w:val="24"/>
        </w:rPr>
      </w:pPr>
      <w:r>
        <w:rPr>
          <w:rFonts w:ascii="宋体" w:cs="宋体"/>
          <w:noProof/>
          <w:kern w:val="0"/>
          <w:sz w:val="24"/>
        </w:rPr>
        <w:drawing>
          <wp:inline distT="0" distB="0" distL="0" distR="0">
            <wp:extent cx="5274310" cy="2609850"/>
            <wp:effectExtent l="0" t="0" r="17" b="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3"/>
                    <pic:cNvPicPr/>
                  </pic:nvPicPr>
                  <pic:blipFill>
                    <a:blip r:embed="rId8"/>
                    <a:stretch>
                      <a:fillRect/>
                    </a:stretch>
                  </pic:blipFill>
                  <pic:spPr>
                    <a:xfrm>
                      <a:off x="0" y="0"/>
                      <a:ext cx="5274310" cy="2609850"/>
                    </a:xfrm>
                    <a:prstGeom prst="rect">
                      <a:avLst/>
                    </a:prstGeom>
                    <a:noFill/>
                    <a:ln w="9525" cap="flat" cmpd="sng">
                      <a:noFill/>
                      <a:prstDash val="solid"/>
                      <a:miter/>
                    </a:ln>
                  </pic:spPr>
                </pic:pic>
              </a:graphicData>
            </a:graphic>
          </wp:inline>
        </w:drawing>
      </w:r>
    </w:p>
    <w:p w:rsidR="005420E7" w:rsidRDefault="00461B4F">
      <w:pPr>
        <w:pStyle w:val="a0"/>
        <w:spacing w:beforeLines="0" w:before="93" w:line="500" w:lineRule="exact"/>
        <w:ind w:firstLineChars="500" w:firstLine="1600"/>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rsidR="005420E7" w:rsidRDefault="00461B4F">
      <w:pPr>
        <w:pStyle w:val="a9"/>
        <w:numPr>
          <w:ilvl w:val="0"/>
          <w:numId w:val="2"/>
        </w:numPr>
        <w:spacing w:line="600" w:lineRule="exact"/>
        <w:ind w:firstLineChars="0"/>
        <w:outlineLvl w:val="1"/>
        <w:rPr>
          <w:rStyle w:val="2Char"/>
          <w:rFonts w:ascii="黑体" w:eastAsia="黑体"/>
          <w:b w:val="0"/>
        </w:rPr>
      </w:pPr>
      <w:bookmarkStart w:id="21" w:name="_Toc15377206"/>
      <w:bookmarkStart w:id="22" w:name="_Toc15396604"/>
      <w:r>
        <w:rPr>
          <w:rFonts w:ascii="黑体" w:eastAsia="黑体" w:hint="eastAsia"/>
          <w:sz w:val="32"/>
          <w:szCs w:val="32"/>
        </w:rPr>
        <w:t>收</w:t>
      </w:r>
      <w:r>
        <w:rPr>
          <w:rStyle w:val="2Char"/>
          <w:rFonts w:ascii="黑体" w:eastAsia="黑体" w:hint="eastAsia"/>
          <w:b w:val="0"/>
        </w:rPr>
        <w:t>入决算情况说明</w:t>
      </w:r>
      <w:bookmarkEnd w:id="21"/>
      <w:bookmarkEnd w:id="22"/>
    </w:p>
    <w:p w:rsidR="005420E7" w:rsidRDefault="00461B4F">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年本年收入合计</w:t>
      </w:r>
      <w:r>
        <w:rPr>
          <w:rFonts w:ascii="仿宋" w:eastAsia="仿宋" w:hint="eastAsia"/>
          <w:sz w:val="32"/>
          <w:szCs w:val="32"/>
        </w:rPr>
        <w:t>271.61</w:t>
      </w:r>
      <w:r>
        <w:rPr>
          <w:rFonts w:ascii="仿宋" w:eastAsia="仿宋" w:hint="eastAsia"/>
          <w:sz w:val="32"/>
          <w:szCs w:val="32"/>
        </w:rPr>
        <w:t>万元，其中：一般公共预算财政拨款收入</w:t>
      </w:r>
      <w:r>
        <w:rPr>
          <w:rFonts w:ascii="仿宋" w:eastAsia="仿宋" w:hint="eastAsia"/>
          <w:sz w:val="32"/>
          <w:szCs w:val="32"/>
        </w:rPr>
        <w:t>271.61</w:t>
      </w:r>
      <w:r>
        <w:rPr>
          <w:rFonts w:ascii="仿宋" w:eastAsia="仿宋" w:hint="eastAsia"/>
          <w:sz w:val="32"/>
          <w:szCs w:val="32"/>
        </w:rPr>
        <w:t>万元，占</w:t>
      </w:r>
      <w:r>
        <w:rPr>
          <w:rFonts w:ascii="仿宋" w:eastAsia="仿宋" w:hint="eastAsia"/>
          <w:sz w:val="32"/>
          <w:szCs w:val="32"/>
        </w:rPr>
        <w:t>100</w:t>
      </w:r>
      <w:r>
        <w:rPr>
          <w:rFonts w:ascii="仿宋" w:eastAsia="仿宋"/>
          <w:sz w:val="32"/>
          <w:szCs w:val="32"/>
        </w:rPr>
        <w:t>%</w:t>
      </w:r>
      <w:r>
        <w:rPr>
          <w:rFonts w:ascii="仿宋" w:eastAsia="仿宋" w:hint="eastAsia"/>
          <w:sz w:val="32"/>
          <w:szCs w:val="32"/>
        </w:rPr>
        <w:t>；政府性基金预算财政拨款收入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；国有资本经营预算财政拨款收入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；上级补助收入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；事业收入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；经营收入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；附属单位上缴收入</w:t>
      </w:r>
      <w:r>
        <w:rPr>
          <w:rFonts w:ascii="仿宋" w:eastAsia="仿宋" w:hint="eastAsia"/>
          <w:sz w:val="32"/>
          <w:szCs w:val="32"/>
        </w:rPr>
        <w:t>0</w:t>
      </w:r>
      <w:r>
        <w:rPr>
          <w:rFonts w:ascii="仿宋" w:eastAsia="仿宋" w:hint="eastAsia"/>
          <w:sz w:val="32"/>
          <w:szCs w:val="32"/>
        </w:rPr>
        <w:t>万</w:t>
      </w:r>
      <w:r>
        <w:rPr>
          <w:rFonts w:ascii="仿宋" w:eastAsia="仿宋" w:hint="eastAsia"/>
          <w:sz w:val="32"/>
          <w:szCs w:val="32"/>
        </w:rPr>
        <w:t>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；其他收入</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w:t>
      </w:r>
    </w:p>
    <w:p w:rsidR="005420E7" w:rsidRDefault="00461B4F">
      <w:pPr>
        <w:spacing w:line="600" w:lineRule="exact"/>
        <w:ind w:firstLineChars="850" w:firstLine="2720"/>
        <w:rPr>
          <w:rFonts w:ascii="仿宋" w:eastAsia="仿宋"/>
          <w:sz w:val="32"/>
          <w:szCs w:val="32"/>
        </w:rPr>
      </w:pPr>
      <w:r>
        <w:rPr>
          <w:rFonts w:ascii="仿宋" w:eastAsia="仿宋" w:hint="eastAsia"/>
          <w:noProof/>
          <w:sz w:val="32"/>
          <w:szCs w:val="32"/>
        </w:rPr>
        <w:lastRenderedPageBreak/>
        <w:drawing>
          <wp:anchor distT="0" distB="0" distL="114300" distR="114300" simplePos="0" relativeHeight="26" behindDoc="0" locked="0" layoutInCell="1" hidden="0" allowOverlap="1">
            <wp:simplePos x="0" y="0"/>
            <wp:positionH relativeFrom="column">
              <wp:posOffset>20954</wp:posOffset>
            </wp:positionH>
            <wp:positionV relativeFrom="paragraph">
              <wp:posOffset>-76200</wp:posOffset>
            </wp:positionV>
            <wp:extent cx="5271134" cy="2314575"/>
            <wp:effectExtent l="0" t="0" r="0" b="0"/>
            <wp:wrapSquare wrapText="bothSides"/>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6"/>
                    <pic:cNvPicPr/>
                  </pic:nvPicPr>
                  <pic:blipFill>
                    <a:blip r:embed="rId9"/>
                    <a:stretch>
                      <a:fillRect/>
                    </a:stretch>
                  </pic:blipFill>
                  <pic:spPr>
                    <a:xfrm>
                      <a:off x="0" y="0"/>
                      <a:ext cx="5271134" cy="2314575"/>
                    </a:xfrm>
                    <a:prstGeom prst="rect">
                      <a:avLst/>
                    </a:prstGeom>
                    <a:noFill/>
                    <a:ln w="9525" cap="flat" cmpd="sng">
                      <a:noFill/>
                      <a:prstDash val="solid"/>
                      <a:miter/>
                    </a:ln>
                  </pic:spPr>
                </pic:pic>
              </a:graphicData>
            </a:graphic>
          </wp:anchor>
        </w:drawing>
      </w:r>
      <w:r>
        <w:rPr>
          <w:rFonts w:ascii="仿宋" w:eastAsia="仿宋" w:hint="eastAsia"/>
          <w:sz w:val="32"/>
          <w:szCs w:val="32"/>
        </w:rPr>
        <w:t>（图</w:t>
      </w:r>
      <w:r>
        <w:rPr>
          <w:rFonts w:ascii="仿宋" w:eastAsia="仿宋" w:hint="eastAsia"/>
          <w:sz w:val="32"/>
          <w:szCs w:val="32"/>
        </w:rPr>
        <w:t>2</w:t>
      </w:r>
      <w:r>
        <w:rPr>
          <w:rFonts w:ascii="仿宋" w:eastAsia="仿宋" w:hint="eastAsia"/>
          <w:sz w:val="32"/>
          <w:szCs w:val="32"/>
        </w:rPr>
        <w:t>：收入决算结构图）</w:t>
      </w:r>
    </w:p>
    <w:p w:rsidR="005420E7" w:rsidRDefault="00461B4F">
      <w:pPr>
        <w:pStyle w:val="a9"/>
        <w:numPr>
          <w:ilvl w:val="0"/>
          <w:numId w:val="2"/>
        </w:numPr>
        <w:spacing w:line="600" w:lineRule="exact"/>
        <w:ind w:firstLineChars="0"/>
        <w:outlineLvl w:val="1"/>
        <w:rPr>
          <w:rStyle w:val="2Char"/>
          <w:rFonts w:ascii="黑体" w:eastAsia="黑体"/>
          <w:b w:val="0"/>
        </w:rPr>
      </w:pPr>
      <w:bookmarkStart w:id="23" w:name="_Toc15377207"/>
      <w:bookmarkStart w:id="24" w:name="_Toc15396605"/>
      <w:r>
        <w:rPr>
          <w:rFonts w:ascii="黑体" w:eastAsia="黑体" w:hint="eastAsia"/>
          <w:sz w:val="32"/>
          <w:szCs w:val="32"/>
        </w:rPr>
        <w:t>支</w:t>
      </w:r>
      <w:r>
        <w:rPr>
          <w:rStyle w:val="2Char"/>
          <w:rFonts w:ascii="黑体" w:eastAsia="黑体" w:hint="eastAsia"/>
          <w:b w:val="0"/>
        </w:rPr>
        <w:t>出决算情况说明</w:t>
      </w:r>
      <w:bookmarkEnd w:id="23"/>
      <w:bookmarkEnd w:id="24"/>
    </w:p>
    <w:p w:rsidR="005420E7" w:rsidRDefault="00461B4F">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年本年支出合计</w:t>
      </w:r>
      <w:r>
        <w:rPr>
          <w:rFonts w:ascii="仿宋" w:eastAsia="仿宋" w:hint="eastAsia"/>
          <w:sz w:val="32"/>
          <w:szCs w:val="32"/>
        </w:rPr>
        <w:t>331.8</w:t>
      </w:r>
      <w:r>
        <w:rPr>
          <w:rFonts w:ascii="仿宋" w:eastAsia="仿宋" w:hint="eastAsia"/>
          <w:sz w:val="32"/>
          <w:szCs w:val="32"/>
        </w:rPr>
        <w:t>万元，其中：基本支出</w:t>
      </w:r>
      <w:r>
        <w:rPr>
          <w:rFonts w:ascii="仿宋" w:eastAsia="仿宋" w:hint="eastAsia"/>
          <w:sz w:val="32"/>
          <w:szCs w:val="32"/>
        </w:rPr>
        <w:t>197.8</w:t>
      </w:r>
      <w:r>
        <w:rPr>
          <w:rFonts w:ascii="仿宋" w:eastAsia="仿宋" w:hint="eastAsia"/>
          <w:sz w:val="32"/>
          <w:szCs w:val="32"/>
        </w:rPr>
        <w:t>万元，占</w:t>
      </w:r>
      <w:r>
        <w:rPr>
          <w:rFonts w:ascii="仿宋" w:eastAsia="仿宋"/>
          <w:sz w:val="32"/>
          <w:szCs w:val="32"/>
        </w:rPr>
        <w:t>59.61%</w:t>
      </w:r>
      <w:r>
        <w:rPr>
          <w:rFonts w:ascii="仿宋" w:eastAsia="仿宋" w:hint="eastAsia"/>
          <w:sz w:val="32"/>
          <w:szCs w:val="32"/>
        </w:rPr>
        <w:t>；项目支出</w:t>
      </w:r>
      <w:r>
        <w:rPr>
          <w:rFonts w:ascii="仿宋" w:eastAsia="仿宋" w:hint="eastAsia"/>
          <w:sz w:val="32"/>
          <w:szCs w:val="32"/>
        </w:rPr>
        <w:t>134</w:t>
      </w:r>
      <w:r>
        <w:rPr>
          <w:rFonts w:ascii="仿宋" w:eastAsia="仿宋" w:hint="eastAsia"/>
          <w:sz w:val="32"/>
          <w:szCs w:val="32"/>
        </w:rPr>
        <w:t>万元，占</w:t>
      </w:r>
      <w:r>
        <w:rPr>
          <w:rFonts w:ascii="仿宋" w:eastAsia="仿宋"/>
          <w:sz w:val="32"/>
          <w:szCs w:val="32"/>
        </w:rPr>
        <w:t>40.39%</w:t>
      </w:r>
      <w:r>
        <w:rPr>
          <w:rFonts w:ascii="仿宋" w:eastAsia="仿宋" w:hint="eastAsia"/>
          <w:sz w:val="32"/>
          <w:szCs w:val="32"/>
        </w:rPr>
        <w:t>；上缴上级支出</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；经营支出</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；对附属单位补助支出</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w:t>
      </w:r>
    </w:p>
    <w:p w:rsidR="005420E7" w:rsidRDefault="00461B4F">
      <w:pPr>
        <w:pStyle w:val="a0"/>
        <w:spacing w:beforeLines="0" w:before="93"/>
      </w:pPr>
      <w:r>
        <w:rPr>
          <w:noProof/>
        </w:rPr>
        <w:drawing>
          <wp:inline distT="0" distB="0" distL="0" distR="0">
            <wp:extent cx="5124450" cy="2876550"/>
            <wp:effectExtent l="0" t="0" r="17" b="44"/>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9"/>
                    <pic:cNvPicPr/>
                  </pic:nvPicPr>
                  <pic:blipFill>
                    <a:blip r:embed="rId10"/>
                    <a:stretch>
                      <a:fillRect/>
                    </a:stretch>
                  </pic:blipFill>
                  <pic:spPr>
                    <a:xfrm>
                      <a:off x="0" y="0"/>
                      <a:ext cx="5124450" cy="2876550"/>
                    </a:xfrm>
                    <a:prstGeom prst="rect">
                      <a:avLst/>
                    </a:prstGeom>
                    <a:noFill/>
                    <a:ln w="9525" cap="flat" cmpd="sng">
                      <a:noFill/>
                      <a:prstDash val="solid"/>
                      <a:miter/>
                    </a:ln>
                  </pic:spPr>
                </pic:pic>
              </a:graphicData>
            </a:graphic>
          </wp:inline>
        </w:drawing>
      </w:r>
      <w:bookmarkStart w:id="25" w:name="_Toc15377208"/>
      <w:bookmarkStart w:id="26" w:name="_Toc15396606"/>
    </w:p>
    <w:p w:rsidR="005420E7" w:rsidRDefault="00461B4F">
      <w:pPr>
        <w:spacing w:line="600" w:lineRule="exact"/>
        <w:ind w:firstLineChars="600" w:firstLine="1920"/>
        <w:rPr>
          <w:rFonts w:ascii="仿宋_GB2312" w:eastAsia="仿宋_GB2312"/>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：支出决算结构图）</w:t>
      </w:r>
    </w:p>
    <w:p w:rsidR="005420E7" w:rsidRDefault="00461B4F">
      <w:pPr>
        <w:spacing w:line="600" w:lineRule="exact"/>
        <w:outlineLvl w:val="1"/>
        <w:rPr>
          <w:rStyle w:val="2Char"/>
          <w:rFonts w:ascii="黑体" w:eastAsia="黑体"/>
          <w:b w:val="0"/>
        </w:rPr>
      </w:pPr>
      <w:r>
        <w:rPr>
          <w:rFonts w:ascii="黑体" w:eastAsia="黑体" w:hint="eastAsia"/>
          <w:sz w:val="32"/>
          <w:szCs w:val="32"/>
        </w:rPr>
        <w:t xml:space="preserve">    </w:t>
      </w:r>
      <w:r>
        <w:rPr>
          <w:rFonts w:ascii="黑体" w:eastAsia="黑体" w:hint="eastAsia"/>
          <w:sz w:val="32"/>
          <w:szCs w:val="32"/>
        </w:rPr>
        <w:t>四、财</w:t>
      </w:r>
      <w:r>
        <w:rPr>
          <w:rStyle w:val="2Char"/>
          <w:rFonts w:ascii="黑体" w:eastAsia="黑体" w:hint="eastAsia"/>
          <w:b w:val="0"/>
        </w:rPr>
        <w:t>政拨款收入支出决算总体情况说明</w:t>
      </w:r>
      <w:bookmarkEnd w:id="25"/>
      <w:bookmarkEnd w:id="26"/>
    </w:p>
    <w:p w:rsidR="005420E7" w:rsidRDefault="00461B4F">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年财政拨款收、支总计</w:t>
      </w:r>
      <w:r>
        <w:rPr>
          <w:rFonts w:ascii="仿宋" w:eastAsia="仿宋" w:hint="eastAsia"/>
          <w:sz w:val="32"/>
          <w:szCs w:val="32"/>
        </w:rPr>
        <w:t>331.8</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w:t>
      </w:r>
      <w:r>
        <w:rPr>
          <w:rFonts w:ascii="仿宋" w:eastAsia="仿宋" w:hint="eastAsia"/>
          <w:sz w:val="32"/>
          <w:szCs w:val="32"/>
        </w:rPr>
        <w:lastRenderedPageBreak/>
        <w:t>比，财政拨款收、支总计各增加</w:t>
      </w:r>
      <w:r>
        <w:rPr>
          <w:rFonts w:ascii="仿宋" w:eastAsia="仿宋" w:hint="eastAsia"/>
          <w:sz w:val="32"/>
          <w:szCs w:val="32"/>
        </w:rPr>
        <w:t>52.05</w:t>
      </w:r>
      <w:r>
        <w:rPr>
          <w:rFonts w:ascii="仿宋" w:eastAsia="仿宋" w:hint="eastAsia"/>
          <w:sz w:val="32"/>
          <w:szCs w:val="32"/>
        </w:rPr>
        <w:t>万元，增长了</w:t>
      </w:r>
      <w:r>
        <w:rPr>
          <w:rFonts w:ascii="仿宋" w:eastAsia="仿宋" w:hint="eastAsia"/>
          <w:sz w:val="32"/>
          <w:szCs w:val="32"/>
        </w:rPr>
        <w:t>23.69%</w:t>
      </w:r>
      <w:r>
        <w:rPr>
          <w:rFonts w:ascii="仿宋" w:eastAsia="仿宋" w:hint="eastAsia"/>
          <w:sz w:val="32"/>
          <w:szCs w:val="32"/>
        </w:rPr>
        <w:t>。主要变动原因是根据合同支付了数字城管信息系统等项目服务外包费。</w:t>
      </w:r>
    </w:p>
    <w:p w:rsidR="005420E7" w:rsidRDefault="00461B4F">
      <w:pPr>
        <w:pStyle w:val="a0"/>
        <w:spacing w:beforeLines="0" w:before="93"/>
      </w:pPr>
      <w:r>
        <w:rPr>
          <w:noProof/>
        </w:rPr>
        <w:drawing>
          <wp:inline distT="0" distB="0" distL="0" distR="0">
            <wp:extent cx="5274310" cy="2476500"/>
            <wp:effectExtent l="0" t="0" r="17" b="38"/>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11"/>
                    <pic:cNvPicPr/>
                  </pic:nvPicPr>
                  <pic:blipFill>
                    <a:blip r:embed="rId8"/>
                    <a:stretch>
                      <a:fillRect/>
                    </a:stretch>
                  </pic:blipFill>
                  <pic:spPr>
                    <a:xfrm>
                      <a:off x="0" y="0"/>
                      <a:ext cx="5274310" cy="2476500"/>
                    </a:xfrm>
                    <a:prstGeom prst="rect">
                      <a:avLst/>
                    </a:prstGeom>
                    <a:noFill/>
                    <a:ln w="9525" cap="flat" cmpd="sng">
                      <a:noFill/>
                      <a:prstDash val="solid"/>
                      <a:miter/>
                    </a:ln>
                  </pic:spPr>
                </pic:pic>
              </a:graphicData>
            </a:graphic>
          </wp:inline>
        </w:drawing>
      </w:r>
    </w:p>
    <w:p w:rsidR="005420E7" w:rsidRDefault="00461B4F">
      <w:pPr>
        <w:spacing w:line="500" w:lineRule="exact"/>
        <w:ind w:firstLineChars="400" w:firstLine="1280"/>
        <w:rPr>
          <w:rFonts w:ascii="仿宋" w:eastAsia="仿宋"/>
          <w:b/>
          <w:sz w:val="32"/>
          <w:szCs w:val="32"/>
        </w:rPr>
      </w:pPr>
      <w:r>
        <w:rPr>
          <w:rFonts w:ascii="仿宋" w:eastAsia="仿宋" w:hint="eastAsia"/>
          <w:sz w:val="32"/>
          <w:szCs w:val="32"/>
        </w:rPr>
        <w:t>（图</w:t>
      </w:r>
      <w:r>
        <w:rPr>
          <w:rFonts w:ascii="仿宋" w:eastAsia="仿宋" w:hint="eastAsia"/>
          <w:sz w:val="32"/>
          <w:szCs w:val="32"/>
        </w:rPr>
        <w:t>4</w:t>
      </w:r>
      <w:r>
        <w:rPr>
          <w:rFonts w:ascii="仿宋" w:eastAsia="仿宋" w:hint="eastAsia"/>
          <w:sz w:val="32"/>
          <w:szCs w:val="32"/>
        </w:rPr>
        <w:t>：财政拨款收、支决算总计变动情况）</w:t>
      </w:r>
    </w:p>
    <w:p w:rsidR="005420E7" w:rsidRDefault="00461B4F">
      <w:pPr>
        <w:spacing w:line="600" w:lineRule="exact"/>
        <w:ind w:firstLineChars="200" w:firstLine="640"/>
        <w:outlineLvl w:val="1"/>
        <w:rPr>
          <w:rStyle w:val="2Char"/>
          <w:rFonts w:ascii="黑体" w:eastAsia="黑体"/>
          <w:b w:val="0"/>
        </w:rPr>
      </w:pPr>
      <w:bookmarkStart w:id="27" w:name="_Toc15396607"/>
      <w:bookmarkStart w:id="28"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rsidR="005420E7" w:rsidRDefault="00461B4F" w:rsidP="00822521">
      <w:pPr>
        <w:spacing w:line="600" w:lineRule="exact"/>
        <w:ind w:firstLineChars="200" w:firstLine="643"/>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rsidR="005420E7" w:rsidRDefault="00461B4F">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hint="eastAsia"/>
          <w:sz w:val="32"/>
          <w:szCs w:val="32"/>
        </w:rPr>
        <w:t>331.8</w:t>
      </w:r>
      <w:r>
        <w:rPr>
          <w:rFonts w:ascii="仿宋" w:eastAsia="仿宋" w:hint="eastAsia"/>
          <w:sz w:val="32"/>
          <w:szCs w:val="32"/>
        </w:rPr>
        <w:t>万元，占本年支出合计的</w:t>
      </w:r>
      <w:r>
        <w:rPr>
          <w:rFonts w:ascii="仿宋" w:eastAsia="仿宋" w:hint="eastAsia"/>
          <w:sz w:val="32"/>
          <w:szCs w:val="32"/>
        </w:rPr>
        <w:t>100</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年相比，一般公共预算财政拨款增加</w:t>
      </w:r>
      <w:r>
        <w:rPr>
          <w:rFonts w:ascii="仿宋" w:eastAsia="仿宋" w:hint="eastAsia"/>
          <w:sz w:val="32"/>
          <w:szCs w:val="32"/>
        </w:rPr>
        <w:t>52.05</w:t>
      </w:r>
      <w:r>
        <w:rPr>
          <w:rFonts w:ascii="仿宋" w:eastAsia="仿宋" w:hint="eastAsia"/>
          <w:sz w:val="32"/>
          <w:szCs w:val="32"/>
        </w:rPr>
        <w:t>万元，增长了</w:t>
      </w:r>
      <w:r>
        <w:rPr>
          <w:rFonts w:ascii="仿宋" w:eastAsia="仿宋" w:hint="eastAsia"/>
          <w:sz w:val="32"/>
          <w:szCs w:val="32"/>
        </w:rPr>
        <w:t>23.69%</w:t>
      </w:r>
    </w:p>
    <w:p w:rsidR="005420E7" w:rsidRDefault="00461B4F">
      <w:pPr>
        <w:pStyle w:val="a0"/>
        <w:spacing w:beforeLines="0" w:before="93"/>
      </w:pPr>
      <w:r>
        <w:rPr>
          <w:noProof/>
        </w:rPr>
        <w:drawing>
          <wp:inline distT="0" distB="0" distL="0" distR="0">
            <wp:extent cx="5419725" cy="2143125"/>
            <wp:effectExtent l="0" t="0" r="12" b="33"/>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14"/>
                    <pic:cNvPicPr/>
                  </pic:nvPicPr>
                  <pic:blipFill>
                    <a:blip r:embed="rId11"/>
                    <a:stretch>
                      <a:fillRect/>
                    </a:stretch>
                  </pic:blipFill>
                  <pic:spPr>
                    <a:xfrm>
                      <a:off x="0" y="0"/>
                      <a:ext cx="5419725" cy="2143125"/>
                    </a:xfrm>
                    <a:prstGeom prst="rect">
                      <a:avLst/>
                    </a:prstGeom>
                    <a:noFill/>
                    <a:ln w="9525" cap="flat" cmpd="sng">
                      <a:noFill/>
                      <a:prstDash val="solid"/>
                      <a:miter/>
                    </a:ln>
                  </pic:spPr>
                </pic:pic>
              </a:graphicData>
            </a:graphic>
          </wp:inline>
        </w:drawing>
      </w:r>
    </w:p>
    <w:p w:rsidR="005420E7" w:rsidRDefault="00461B4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5</w:t>
      </w:r>
      <w:r>
        <w:rPr>
          <w:rFonts w:ascii="仿宋" w:eastAsia="仿宋" w:hint="eastAsia"/>
          <w:sz w:val="32"/>
          <w:szCs w:val="32"/>
        </w:rPr>
        <w:t>：一般公共预算财政拨款支出决算变动情况）</w:t>
      </w:r>
    </w:p>
    <w:p w:rsidR="005420E7" w:rsidRDefault="00461B4F" w:rsidP="00822521">
      <w:pPr>
        <w:spacing w:line="600" w:lineRule="exact"/>
        <w:ind w:firstLineChars="200" w:firstLine="643"/>
        <w:outlineLvl w:val="2"/>
        <w:rPr>
          <w:rFonts w:ascii="仿宋" w:eastAsia="仿宋"/>
          <w:b/>
          <w:sz w:val="32"/>
          <w:szCs w:val="32"/>
        </w:rPr>
      </w:pPr>
      <w:bookmarkStart w:id="30" w:name="_Toc15377211"/>
      <w:r>
        <w:rPr>
          <w:rFonts w:ascii="仿宋" w:eastAsia="仿宋" w:hint="eastAsia"/>
          <w:b/>
          <w:sz w:val="32"/>
          <w:szCs w:val="32"/>
        </w:rPr>
        <w:lastRenderedPageBreak/>
        <w:t>（二）一般公共预算财政拨款支出决算结构</w:t>
      </w:r>
      <w:r>
        <w:rPr>
          <w:rFonts w:ascii="仿宋" w:eastAsia="仿宋" w:hint="eastAsia"/>
          <w:b/>
          <w:sz w:val="32"/>
          <w:szCs w:val="32"/>
        </w:rPr>
        <w:t>情况</w:t>
      </w:r>
      <w:bookmarkEnd w:id="30"/>
    </w:p>
    <w:p w:rsidR="005420E7" w:rsidRDefault="00461B4F">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hint="eastAsia"/>
          <w:sz w:val="32"/>
          <w:szCs w:val="32"/>
        </w:rPr>
        <w:t>331.8</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社会保障和就业</w:t>
      </w:r>
      <w:r>
        <w:rPr>
          <w:rFonts w:ascii="仿宋" w:eastAsia="仿宋" w:hint="eastAsia"/>
          <w:b/>
          <w:bCs/>
          <w:sz w:val="32"/>
          <w:szCs w:val="32"/>
        </w:rPr>
        <w:t>支出</w:t>
      </w:r>
      <w:r>
        <w:rPr>
          <w:rFonts w:ascii="仿宋" w:eastAsia="仿宋" w:hint="eastAsia"/>
          <w:sz w:val="32"/>
          <w:szCs w:val="32"/>
        </w:rPr>
        <w:t>14.04</w:t>
      </w:r>
      <w:r>
        <w:rPr>
          <w:rFonts w:ascii="仿宋" w:eastAsia="仿宋" w:hint="eastAsia"/>
          <w:sz w:val="32"/>
          <w:szCs w:val="32"/>
        </w:rPr>
        <w:t>万元，占</w:t>
      </w:r>
      <w:r>
        <w:rPr>
          <w:rFonts w:ascii="仿宋" w:eastAsia="仿宋" w:hint="eastAsia"/>
          <w:sz w:val="32"/>
          <w:szCs w:val="32"/>
        </w:rPr>
        <w:t>4</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住房保障支出</w:t>
      </w:r>
      <w:r>
        <w:rPr>
          <w:rFonts w:ascii="仿宋" w:eastAsia="仿宋" w:hint="eastAsia"/>
          <w:sz w:val="32"/>
          <w:szCs w:val="32"/>
        </w:rPr>
        <w:t>16.11</w:t>
      </w:r>
      <w:r>
        <w:rPr>
          <w:rFonts w:ascii="仿宋" w:eastAsia="仿宋" w:hint="eastAsia"/>
          <w:sz w:val="32"/>
          <w:szCs w:val="32"/>
        </w:rPr>
        <w:t>万元，占</w:t>
      </w:r>
      <w:r>
        <w:rPr>
          <w:rFonts w:ascii="仿宋" w:eastAsia="仿宋" w:hint="eastAsia"/>
          <w:sz w:val="32"/>
          <w:szCs w:val="32"/>
        </w:rPr>
        <w:t>5</w:t>
      </w:r>
      <w:r>
        <w:rPr>
          <w:rFonts w:ascii="仿宋" w:eastAsia="仿宋"/>
          <w:sz w:val="32"/>
          <w:szCs w:val="32"/>
        </w:rPr>
        <w:t>%</w:t>
      </w:r>
      <w:r>
        <w:rPr>
          <w:rFonts w:ascii="仿宋" w:eastAsia="仿宋" w:hint="eastAsia"/>
          <w:sz w:val="32"/>
          <w:szCs w:val="32"/>
        </w:rPr>
        <w:t>；</w:t>
      </w:r>
      <w:r>
        <w:rPr>
          <w:rFonts w:ascii="仿宋" w:eastAsia="仿宋" w:hint="eastAsia"/>
          <w:b/>
          <w:sz w:val="32"/>
          <w:szCs w:val="32"/>
        </w:rPr>
        <w:t>城乡社区支出</w:t>
      </w:r>
      <w:r>
        <w:rPr>
          <w:rFonts w:ascii="仿宋" w:eastAsia="仿宋" w:hint="eastAsia"/>
          <w:sz w:val="32"/>
          <w:szCs w:val="32"/>
        </w:rPr>
        <w:t>301.65</w:t>
      </w:r>
      <w:r>
        <w:rPr>
          <w:rFonts w:ascii="仿宋" w:eastAsia="仿宋" w:hint="eastAsia"/>
          <w:sz w:val="32"/>
          <w:szCs w:val="32"/>
        </w:rPr>
        <w:t>万元，占</w:t>
      </w:r>
      <w:r>
        <w:rPr>
          <w:rFonts w:ascii="仿宋" w:eastAsia="仿宋" w:hint="eastAsia"/>
          <w:sz w:val="32"/>
          <w:szCs w:val="32"/>
        </w:rPr>
        <w:t>91%</w:t>
      </w:r>
      <w:r>
        <w:rPr>
          <w:rFonts w:ascii="仿宋" w:eastAsia="仿宋" w:hint="eastAsia"/>
          <w:sz w:val="32"/>
          <w:szCs w:val="32"/>
        </w:rPr>
        <w:t>。</w:t>
      </w:r>
    </w:p>
    <w:p w:rsidR="005420E7" w:rsidRDefault="00461B4F">
      <w:pPr>
        <w:pStyle w:val="a0"/>
        <w:spacing w:beforeLines="0" w:before="93"/>
        <w:ind w:firstLineChars="250" w:firstLine="750"/>
      </w:pPr>
      <w:r>
        <w:rPr>
          <w:noProof/>
        </w:rPr>
        <w:drawing>
          <wp:anchor distT="0" distB="0" distL="114300" distR="114300" simplePos="0" relativeHeight="28" behindDoc="0" locked="0" layoutInCell="1" hidden="0" allowOverlap="1">
            <wp:simplePos x="0" y="0"/>
            <wp:positionH relativeFrom="column">
              <wp:posOffset>20954</wp:posOffset>
            </wp:positionH>
            <wp:positionV relativeFrom="paragraph">
              <wp:posOffset>104775</wp:posOffset>
            </wp:positionV>
            <wp:extent cx="4819650" cy="2686049"/>
            <wp:effectExtent l="0" t="0" r="0" b="0"/>
            <wp:wrapTight wrapText="bothSides">
              <wp:wrapPolygon edited="0">
                <wp:start x="-85" y="0"/>
                <wp:lineTo x="-85" y="21447"/>
                <wp:lineTo x="21600" y="21447"/>
                <wp:lineTo x="21600" y="0"/>
                <wp:lineTo x="-85" y="0"/>
              </wp:wrapPolygon>
            </wp:wrapTight>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17"/>
                    <pic:cNvPicPr/>
                  </pic:nvPicPr>
                  <pic:blipFill>
                    <a:blip r:embed="rId12"/>
                    <a:stretch>
                      <a:fillRect/>
                    </a:stretch>
                  </pic:blipFill>
                  <pic:spPr>
                    <a:xfrm>
                      <a:off x="0" y="0"/>
                      <a:ext cx="4819650" cy="2686049"/>
                    </a:xfrm>
                    <a:prstGeom prst="rect">
                      <a:avLst/>
                    </a:prstGeom>
                    <a:noFill/>
                    <a:ln w="9525" cap="flat" cmpd="sng">
                      <a:noFill/>
                      <a:prstDash val="solid"/>
                      <a:miter/>
                    </a:ln>
                  </pic:spPr>
                </pic:pic>
              </a:graphicData>
            </a:graphic>
          </wp:anchor>
        </w:drawing>
      </w:r>
      <w:r>
        <w:rPr>
          <w:rFonts w:ascii="仿宋" w:eastAsia="仿宋" w:hint="eastAsia"/>
          <w:sz w:val="32"/>
          <w:szCs w:val="32"/>
        </w:rPr>
        <w:t>（图</w:t>
      </w:r>
      <w:r>
        <w:rPr>
          <w:rFonts w:ascii="仿宋" w:eastAsia="仿宋" w:hint="eastAsia"/>
          <w:sz w:val="32"/>
          <w:szCs w:val="32"/>
        </w:rPr>
        <w:t>6</w:t>
      </w:r>
      <w:r>
        <w:rPr>
          <w:rFonts w:ascii="仿宋" w:eastAsia="仿宋" w:hint="eastAsia"/>
          <w:sz w:val="32"/>
          <w:szCs w:val="32"/>
        </w:rPr>
        <w:t>：一般公共预算财政拨款支出决算结构）</w:t>
      </w:r>
    </w:p>
    <w:p w:rsidR="005420E7" w:rsidRDefault="00461B4F" w:rsidP="00822521">
      <w:pPr>
        <w:spacing w:line="600" w:lineRule="exact"/>
        <w:ind w:firstLineChars="200" w:firstLine="643"/>
        <w:outlineLvl w:val="2"/>
        <w:rPr>
          <w:rFonts w:ascii="仿宋" w:eastAsia="仿宋"/>
          <w:b/>
          <w:sz w:val="32"/>
          <w:szCs w:val="32"/>
        </w:rPr>
      </w:pPr>
      <w:bookmarkStart w:id="31" w:name="_Toc15377212"/>
      <w:r>
        <w:rPr>
          <w:rFonts w:ascii="仿宋" w:eastAsia="仿宋" w:hint="eastAsia"/>
          <w:b/>
          <w:sz w:val="32"/>
          <w:szCs w:val="32"/>
        </w:rPr>
        <w:t>（三）一般公共预算财政拨款支出决算具体情况</w:t>
      </w:r>
      <w:bookmarkEnd w:id="31"/>
    </w:p>
    <w:p w:rsidR="005420E7" w:rsidRDefault="00461B4F" w:rsidP="00822521">
      <w:pPr>
        <w:spacing w:line="600" w:lineRule="exact"/>
        <w:ind w:firstLineChars="200" w:firstLine="643"/>
        <w:outlineLvl w:val="2"/>
        <w:rPr>
          <w:rStyle w:val="a7"/>
          <w:rFonts w:ascii="仿宋" w:eastAsia="仿宋"/>
          <w:bCs/>
          <w:sz w:val="32"/>
          <w:szCs w:val="32"/>
        </w:rPr>
      </w:pPr>
      <w:bookmarkStart w:id="32" w:name="_Toc15378460"/>
      <w:bookmarkStart w:id="33" w:name="_Toc15377444"/>
      <w:bookmarkStart w:id="34" w:name="_Toc15377213"/>
      <w:r>
        <w:rPr>
          <w:rFonts w:ascii="仿宋" w:eastAsia="仿宋" w:hint="eastAsia"/>
          <w:b/>
          <w:sz w:val="32"/>
          <w:szCs w:val="32"/>
        </w:rPr>
        <w:t>2022</w:t>
      </w:r>
      <w:r>
        <w:rPr>
          <w:rFonts w:ascii="仿宋" w:eastAsia="仿宋" w:hint="eastAsia"/>
          <w:b/>
          <w:sz w:val="32"/>
          <w:szCs w:val="32"/>
        </w:rPr>
        <w:t>年一般公共预算支出决算数为</w:t>
      </w:r>
      <w:r>
        <w:rPr>
          <w:rFonts w:ascii="仿宋" w:eastAsia="仿宋" w:hint="eastAsia"/>
          <w:b/>
          <w:sz w:val="32"/>
          <w:szCs w:val="32"/>
        </w:rPr>
        <w:t>331.8</w:t>
      </w:r>
      <w:r>
        <w:rPr>
          <w:rFonts w:ascii="仿宋" w:eastAsia="仿宋" w:hint="eastAsia"/>
          <w:sz w:val="32"/>
          <w:szCs w:val="32"/>
        </w:rPr>
        <w:t>，</w:t>
      </w:r>
      <w:r>
        <w:rPr>
          <w:rStyle w:val="a7"/>
          <w:rFonts w:ascii="仿宋" w:eastAsia="仿宋" w:hint="eastAsia"/>
          <w:bCs/>
          <w:sz w:val="32"/>
          <w:szCs w:val="32"/>
        </w:rPr>
        <w:t>完成预算</w:t>
      </w:r>
      <w:r>
        <w:rPr>
          <w:rStyle w:val="a7"/>
          <w:rFonts w:ascii="仿宋" w:eastAsia="仿宋" w:hint="eastAsia"/>
          <w:bCs/>
          <w:sz w:val="32"/>
          <w:szCs w:val="32"/>
        </w:rPr>
        <w:t>100</w:t>
      </w:r>
      <w:r>
        <w:rPr>
          <w:rStyle w:val="a7"/>
          <w:rFonts w:ascii="仿宋" w:eastAsia="仿宋"/>
          <w:bCs/>
          <w:sz w:val="32"/>
          <w:szCs w:val="32"/>
        </w:rPr>
        <w:t>%</w:t>
      </w:r>
      <w:r>
        <w:rPr>
          <w:rStyle w:val="a7"/>
          <w:rFonts w:ascii="仿宋" w:eastAsia="仿宋" w:hint="eastAsia"/>
          <w:bCs/>
          <w:sz w:val="32"/>
          <w:szCs w:val="32"/>
        </w:rPr>
        <w:t>。其中：</w:t>
      </w:r>
      <w:bookmarkEnd w:id="32"/>
      <w:bookmarkEnd w:id="33"/>
      <w:bookmarkEnd w:id="34"/>
    </w:p>
    <w:p w:rsidR="005420E7" w:rsidRDefault="00461B4F" w:rsidP="00822521">
      <w:pPr>
        <w:spacing w:line="600" w:lineRule="exact"/>
        <w:ind w:firstLineChars="200" w:firstLine="643"/>
        <w:rPr>
          <w:rStyle w:val="a7"/>
          <w:rFonts w:ascii="仿宋" w:eastAsia="仿宋"/>
          <w:b w:val="0"/>
          <w:bCs/>
          <w:sz w:val="32"/>
          <w:szCs w:val="32"/>
        </w:rPr>
      </w:pPr>
      <w:r>
        <w:rPr>
          <w:rStyle w:val="a7"/>
          <w:rFonts w:ascii="仿宋" w:eastAsia="仿宋" w:hint="eastAsia"/>
          <w:bCs/>
          <w:sz w:val="32"/>
          <w:szCs w:val="32"/>
        </w:rPr>
        <w:t>1.</w:t>
      </w:r>
      <w:r>
        <w:rPr>
          <w:rStyle w:val="a7"/>
          <w:rFonts w:ascii="仿宋" w:eastAsia="仿宋" w:hint="eastAsia"/>
          <w:bCs/>
          <w:sz w:val="32"/>
          <w:szCs w:val="32"/>
        </w:rPr>
        <w:t>社会保障和就业（类）行政事业单位养老支出（款）机关事业单位基本养老保险缴费支出（项）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hint="eastAsia"/>
          <w:b w:val="0"/>
          <w:bCs/>
          <w:sz w:val="32"/>
          <w:szCs w:val="32"/>
        </w:rPr>
        <w:t>14.04</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5420E7" w:rsidRDefault="00461B4F" w:rsidP="00822521">
      <w:pPr>
        <w:spacing w:line="600" w:lineRule="exact"/>
        <w:ind w:firstLineChars="200" w:firstLine="643"/>
        <w:rPr>
          <w:rStyle w:val="a7"/>
          <w:rFonts w:ascii="仿宋" w:eastAsia="仿宋"/>
          <w:b w:val="0"/>
          <w:bCs/>
          <w:sz w:val="32"/>
          <w:szCs w:val="32"/>
        </w:rPr>
      </w:pPr>
      <w:r>
        <w:rPr>
          <w:rFonts w:ascii="仿宋" w:eastAsia="仿宋" w:hint="eastAsia"/>
          <w:b/>
          <w:bCs/>
          <w:sz w:val="32"/>
          <w:szCs w:val="32"/>
        </w:rPr>
        <w:t>2.</w:t>
      </w:r>
      <w:r>
        <w:rPr>
          <w:rFonts w:ascii="仿宋" w:eastAsia="仿宋" w:hint="eastAsia"/>
          <w:b/>
          <w:bCs/>
          <w:sz w:val="32"/>
          <w:szCs w:val="32"/>
        </w:rPr>
        <w:t>城乡社区支出</w:t>
      </w:r>
      <w:r>
        <w:rPr>
          <w:rStyle w:val="a7"/>
          <w:rFonts w:ascii="仿宋" w:eastAsia="仿宋" w:hint="eastAsia"/>
          <w:bCs/>
          <w:sz w:val="32"/>
          <w:szCs w:val="32"/>
        </w:rPr>
        <w:t>（类）城乡社区管理服务（款）其他城乡社区管理事务支出（项）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hint="eastAsia"/>
          <w:b w:val="0"/>
          <w:bCs/>
          <w:sz w:val="32"/>
          <w:szCs w:val="32"/>
        </w:rPr>
        <w:t>301.6</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5420E7" w:rsidRDefault="00461B4F" w:rsidP="00822521">
      <w:pPr>
        <w:spacing w:line="600" w:lineRule="exact"/>
        <w:ind w:firstLineChars="200" w:firstLine="643"/>
        <w:rPr>
          <w:rFonts w:ascii="仿宋" w:eastAsia="仿宋"/>
          <w:b/>
          <w:bCs/>
          <w:sz w:val="32"/>
          <w:szCs w:val="32"/>
        </w:rPr>
      </w:pPr>
      <w:r>
        <w:rPr>
          <w:rFonts w:ascii="仿宋" w:eastAsia="仿宋" w:hint="eastAsia"/>
          <w:b/>
          <w:bCs/>
          <w:sz w:val="32"/>
          <w:szCs w:val="32"/>
        </w:rPr>
        <w:lastRenderedPageBreak/>
        <w:t>3.</w:t>
      </w:r>
      <w:r>
        <w:rPr>
          <w:rFonts w:ascii="仿宋" w:eastAsia="仿宋"/>
          <w:b/>
          <w:bCs/>
          <w:sz w:val="32"/>
          <w:szCs w:val="32"/>
        </w:rPr>
        <w:t xml:space="preserve"> </w:t>
      </w:r>
      <w:r>
        <w:rPr>
          <w:rFonts w:ascii="仿宋" w:eastAsia="仿宋" w:hint="eastAsia"/>
          <w:b/>
          <w:bCs/>
          <w:sz w:val="32"/>
          <w:szCs w:val="32"/>
        </w:rPr>
        <w:t>住房保障支出</w:t>
      </w:r>
      <w:r>
        <w:rPr>
          <w:rStyle w:val="a7"/>
          <w:rFonts w:ascii="仿宋" w:eastAsia="仿宋" w:hint="eastAsia"/>
          <w:bCs/>
          <w:sz w:val="32"/>
          <w:szCs w:val="32"/>
        </w:rPr>
        <w:t>（类）住房改革支出（款）住房公积金（项）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hint="eastAsia"/>
          <w:b w:val="0"/>
          <w:bCs/>
          <w:sz w:val="32"/>
          <w:szCs w:val="32"/>
        </w:rPr>
        <w:t>16.11</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5420E7" w:rsidRDefault="00461B4F">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5"/>
      <w:bookmarkEnd w:id="36"/>
      <w:r>
        <w:rPr>
          <w:rStyle w:val="2Char"/>
          <w:rFonts w:ascii="黑体" w:eastAsia="黑体"/>
          <w:b w:val="0"/>
        </w:rPr>
        <w:tab/>
      </w:r>
    </w:p>
    <w:p w:rsidR="005420E7" w:rsidRDefault="00461B4F">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年一般公共预算财政拨款基本支出</w:t>
      </w:r>
      <w:r>
        <w:rPr>
          <w:rFonts w:ascii="仿宋" w:eastAsia="仿宋" w:hint="eastAsia"/>
          <w:sz w:val="32"/>
          <w:szCs w:val="32"/>
        </w:rPr>
        <w:t>331.8</w:t>
      </w:r>
      <w:r>
        <w:rPr>
          <w:rFonts w:ascii="仿宋" w:eastAsia="仿宋" w:hint="eastAsia"/>
          <w:sz w:val="32"/>
          <w:szCs w:val="32"/>
        </w:rPr>
        <w:t>万元，其中：</w:t>
      </w:r>
    </w:p>
    <w:p w:rsidR="005420E7" w:rsidRDefault="00461B4F">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hint="eastAsia"/>
          <w:sz w:val="32"/>
          <w:szCs w:val="32"/>
        </w:rPr>
        <w:t>189.94</w:t>
      </w:r>
      <w:r>
        <w:rPr>
          <w:rFonts w:ascii="仿宋" w:eastAsia="仿宋" w:hint="eastAsia"/>
          <w:sz w:val="32"/>
          <w:szCs w:val="32"/>
        </w:rPr>
        <w:t>万元，主要包括：基本工资、津贴补贴、奖金、绩效工资、机关事业单位基本养老保险缴费、其他社会保障缴费、其他工资福利支出、职工基本医疗保险缴费、公务员医疗费补助缴费、住房公积金等。</w:t>
      </w:r>
      <w:r>
        <w:rPr>
          <w:rFonts w:ascii="仿宋" w:eastAsia="仿宋"/>
          <w:sz w:val="32"/>
          <w:szCs w:val="32"/>
        </w:rPr>
        <w:br/>
      </w:r>
      <w:r>
        <w:rPr>
          <w:rFonts w:ascii="仿宋" w:eastAsia="仿宋" w:hint="eastAsia"/>
          <w:sz w:val="32"/>
          <w:szCs w:val="32"/>
        </w:rPr>
        <w:t xml:space="preserve">　　公用经费</w:t>
      </w:r>
      <w:r>
        <w:rPr>
          <w:rFonts w:ascii="仿宋" w:eastAsia="仿宋" w:hint="eastAsia"/>
          <w:sz w:val="32"/>
          <w:szCs w:val="32"/>
        </w:rPr>
        <w:t>7.96</w:t>
      </w:r>
      <w:r>
        <w:rPr>
          <w:rFonts w:ascii="仿宋" w:eastAsia="仿宋" w:hint="eastAsia"/>
          <w:sz w:val="32"/>
          <w:szCs w:val="32"/>
        </w:rPr>
        <w:t>万元，主要包括：办公费、水费、电费、邮电费差旅费、培训费、公务接待费、委托业务费、工会经费、福利费、公务用车运行维护费、其他商品和服务支出等。</w:t>
      </w:r>
    </w:p>
    <w:p w:rsidR="005420E7" w:rsidRDefault="00461B4F">
      <w:pPr>
        <w:spacing w:line="600" w:lineRule="exact"/>
        <w:ind w:firstLine="640"/>
        <w:outlineLvl w:val="1"/>
        <w:rPr>
          <w:rStyle w:val="2Char"/>
          <w:rFonts w:ascii="黑体" w:eastAsia="黑体"/>
          <w:b w:val="0"/>
        </w:rPr>
      </w:pPr>
      <w:bookmarkStart w:id="37" w:name="_Toc15396609"/>
      <w:bookmarkStart w:id="38" w:name="_Toc15377215"/>
      <w:r>
        <w:rPr>
          <w:rFonts w:ascii="黑体" w:eastAsia="黑体" w:hint="eastAsia"/>
          <w:sz w:val="32"/>
          <w:szCs w:val="32"/>
        </w:rPr>
        <w:t>七、</w:t>
      </w:r>
      <w:r>
        <w:rPr>
          <w:rStyle w:val="2Char"/>
          <w:rFonts w:ascii="黑体" w:eastAsia="黑体" w:hint="eastAsia"/>
          <w:b w:val="0"/>
        </w:rPr>
        <w:t>财政拨款</w:t>
      </w:r>
      <w:r>
        <w:rPr>
          <w:rStyle w:val="2Char"/>
          <w:rFonts w:ascii="黑体" w:eastAsia="黑体" w:hint="eastAsia"/>
        </w:rPr>
        <w:t>“</w:t>
      </w:r>
      <w:r>
        <w:rPr>
          <w:rStyle w:val="2Char"/>
          <w:rFonts w:ascii="黑体" w:eastAsia="黑体" w:hint="eastAsia"/>
          <w:b w:val="0"/>
        </w:rPr>
        <w:t>三公”经费支出决算情况说明</w:t>
      </w:r>
      <w:bookmarkEnd w:id="37"/>
      <w:bookmarkEnd w:id="38"/>
    </w:p>
    <w:p w:rsidR="005420E7" w:rsidRDefault="00461B4F">
      <w:pPr>
        <w:spacing w:line="600" w:lineRule="exact"/>
        <w:ind w:firstLine="640"/>
        <w:outlineLvl w:val="2"/>
        <w:rPr>
          <w:rFonts w:ascii="仿宋" w:eastAsia="仿宋"/>
          <w:b/>
          <w:sz w:val="32"/>
          <w:szCs w:val="32"/>
        </w:rPr>
      </w:pPr>
      <w:bookmarkStart w:id="39" w:name="_Toc15377216"/>
      <w:r>
        <w:rPr>
          <w:rFonts w:ascii="仿宋" w:eastAsia="仿宋" w:hint="eastAsia"/>
          <w:b/>
          <w:sz w:val="32"/>
          <w:szCs w:val="32"/>
        </w:rPr>
        <w:t>（一）“三公”经费财政拨款支出决算总体情况说明</w:t>
      </w:r>
      <w:bookmarkEnd w:id="39"/>
    </w:p>
    <w:p w:rsidR="005420E7" w:rsidRDefault="00461B4F">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年“三公”经费财政拨款支出决算为</w:t>
      </w:r>
      <w:r>
        <w:rPr>
          <w:rFonts w:ascii="仿宋" w:eastAsia="仿宋" w:hint="eastAsia"/>
          <w:sz w:val="32"/>
          <w:szCs w:val="32"/>
        </w:rPr>
        <w:t>1.24</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，较上年增加</w:t>
      </w:r>
      <w:r>
        <w:rPr>
          <w:rFonts w:ascii="仿宋" w:eastAsia="仿宋" w:hint="eastAsia"/>
          <w:sz w:val="32"/>
          <w:szCs w:val="32"/>
        </w:rPr>
        <w:t>0.44</w:t>
      </w:r>
      <w:r>
        <w:rPr>
          <w:rFonts w:ascii="仿宋" w:eastAsia="仿宋" w:hint="eastAsia"/>
          <w:sz w:val="32"/>
          <w:szCs w:val="32"/>
        </w:rPr>
        <w:t>万元，增长</w:t>
      </w:r>
      <w:r>
        <w:rPr>
          <w:rFonts w:ascii="仿宋" w:eastAsia="仿宋" w:hint="eastAsia"/>
          <w:sz w:val="32"/>
          <w:szCs w:val="32"/>
        </w:rPr>
        <w:t>54.32%</w:t>
      </w:r>
      <w:r>
        <w:rPr>
          <w:rFonts w:ascii="仿宋" w:eastAsia="仿宋" w:hint="eastAsia"/>
          <w:sz w:val="32"/>
          <w:szCs w:val="32"/>
        </w:rPr>
        <w:t>。决算预算数持平。</w:t>
      </w:r>
    </w:p>
    <w:p w:rsidR="005420E7" w:rsidRDefault="00461B4F">
      <w:pPr>
        <w:spacing w:line="600" w:lineRule="exact"/>
        <w:ind w:firstLine="640"/>
        <w:outlineLvl w:val="2"/>
        <w:rPr>
          <w:rFonts w:ascii="仿宋" w:eastAsia="仿宋"/>
          <w:b/>
          <w:sz w:val="32"/>
          <w:szCs w:val="32"/>
        </w:rPr>
      </w:pPr>
      <w:bookmarkStart w:id="40" w:name="_Toc15377217"/>
      <w:r>
        <w:rPr>
          <w:rFonts w:ascii="仿宋" w:eastAsia="仿宋" w:hint="eastAsia"/>
          <w:b/>
          <w:sz w:val="32"/>
          <w:szCs w:val="32"/>
        </w:rPr>
        <w:t>（二）“三公”经费财政拨款支出决算具体情况说明</w:t>
      </w:r>
      <w:bookmarkEnd w:id="40"/>
    </w:p>
    <w:p w:rsidR="005420E7" w:rsidRDefault="00461B4F">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年“三公”经费财政拨款支出决算中，因公出国（境）费支出决算</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rPr>
        <w:t>1.24</w:t>
      </w:r>
      <w:r>
        <w:rPr>
          <w:rFonts w:ascii="仿宋" w:eastAsia="仿宋" w:hint="eastAsia"/>
          <w:sz w:val="32"/>
          <w:szCs w:val="32"/>
        </w:rPr>
        <w:t>万元，占</w:t>
      </w:r>
      <w:r>
        <w:rPr>
          <w:rFonts w:ascii="仿宋" w:eastAsia="仿宋" w:hint="eastAsia"/>
          <w:sz w:val="32"/>
          <w:szCs w:val="32"/>
        </w:rPr>
        <w:t>100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。具体情况如下：</w:t>
      </w:r>
    </w:p>
    <w:p w:rsidR="005420E7" w:rsidRDefault="00461B4F">
      <w:pPr>
        <w:pStyle w:val="a0"/>
        <w:spacing w:beforeLines="0" w:before="93"/>
      </w:pPr>
      <w:r>
        <w:rPr>
          <w:noProof/>
        </w:rPr>
        <w:lastRenderedPageBreak/>
        <w:drawing>
          <wp:anchor distT="0" distB="0" distL="114300" distR="114300" simplePos="0" relativeHeight="30" behindDoc="0" locked="0" layoutInCell="1" hidden="0" allowOverlap="1">
            <wp:simplePos x="0" y="0"/>
            <wp:positionH relativeFrom="column">
              <wp:posOffset>192405</wp:posOffset>
            </wp:positionH>
            <wp:positionV relativeFrom="paragraph">
              <wp:posOffset>180975</wp:posOffset>
            </wp:positionV>
            <wp:extent cx="4819649" cy="2419350"/>
            <wp:effectExtent l="0" t="0" r="0" b="0"/>
            <wp:wrapTight wrapText="bothSides">
              <wp:wrapPolygon edited="0">
                <wp:start x="-85" y="0"/>
                <wp:lineTo x="-85" y="21430"/>
                <wp:lineTo x="21600" y="21430"/>
                <wp:lineTo x="21600" y="0"/>
                <wp:lineTo x="-85" y="0"/>
              </wp:wrapPolygon>
            </wp:wrapTight>
            <wp:docPr id="1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20"/>
                    <pic:cNvPicPr/>
                  </pic:nvPicPr>
                  <pic:blipFill>
                    <a:blip r:embed="rId13"/>
                    <a:stretch>
                      <a:fillRect/>
                    </a:stretch>
                  </pic:blipFill>
                  <pic:spPr>
                    <a:xfrm>
                      <a:off x="0" y="0"/>
                      <a:ext cx="4819649" cy="2419350"/>
                    </a:xfrm>
                    <a:prstGeom prst="rect">
                      <a:avLst/>
                    </a:prstGeom>
                    <a:noFill/>
                    <a:ln w="9525" cap="flat" cmpd="sng">
                      <a:noFill/>
                      <a:prstDash val="solid"/>
                      <a:miter/>
                    </a:ln>
                  </pic:spPr>
                </pic:pic>
              </a:graphicData>
            </a:graphic>
          </wp:anchor>
        </w:drawing>
      </w:r>
    </w:p>
    <w:p w:rsidR="005420E7" w:rsidRDefault="00461B4F">
      <w:pPr>
        <w:spacing w:line="600" w:lineRule="exact"/>
        <w:ind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7</w:t>
      </w:r>
      <w:r>
        <w:rPr>
          <w:rFonts w:ascii="仿宋" w:eastAsia="仿宋" w:hint="eastAsia"/>
          <w:sz w:val="32"/>
          <w:szCs w:val="32"/>
        </w:rPr>
        <w:t>：“三公”经费财政拨款支出结构）</w:t>
      </w:r>
    </w:p>
    <w:p w:rsidR="005420E7" w:rsidRDefault="00461B4F">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w:t>
      </w:r>
      <w:r>
        <w:rPr>
          <w:rFonts w:ascii="仿宋_GB2312" w:eastAsia="仿宋_GB2312" w:hint="eastAsia"/>
          <w:sz w:val="32"/>
          <w:szCs w:val="32"/>
        </w:rPr>
        <w:t>国（境）支出决算比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5420E7" w:rsidRDefault="00461B4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1.24</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int="eastAsia"/>
          <w:b w:val="0"/>
          <w:bCs/>
          <w:sz w:val="32"/>
          <w:szCs w:val="32"/>
        </w:rPr>
        <w:t>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hint="eastAsia"/>
          <w:sz w:val="32"/>
          <w:szCs w:val="32"/>
        </w:rPr>
        <w:t>0.44</w:t>
      </w:r>
      <w:r>
        <w:rPr>
          <w:rFonts w:ascii="仿宋_GB2312" w:eastAsia="仿宋_GB2312" w:hint="eastAsia"/>
          <w:sz w:val="32"/>
          <w:szCs w:val="32"/>
        </w:rPr>
        <w:t>万元，增长</w:t>
      </w:r>
      <w:r>
        <w:rPr>
          <w:rFonts w:ascii="仿宋_GB2312" w:eastAsia="仿宋_GB2312" w:hint="eastAsia"/>
          <w:sz w:val="32"/>
          <w:szCs w:val="32"/>
        </w:rPr>
        <w:t>54.32</w:t>
      </w:r>
      <w:r>
        <w:rPr>
          <w:rFonts w:ascii="仿宋_GB2312" w:eastAsia="仿宋_GB2312"/>
          <w:sz w:val="32"/>
          <w:szCs w:val="32"/>
        </w:rPr>
        <w:t>%</w:t>
      </w:r>
      <w:r>
        <w:rPr>
          <w:rFonts w:ascii="仿宋_GB2312" w:eastAsia="仿宋_GB2312" w:hint="eastAsia"/>
          <w:sz w:val="32"/>
          <w:szCs w:val="32"/>
        </w:rPr>
        <w:t>。主要原因是车辆老化维修费增加。</w:t>
      </w:r>
    </w:p>
    <w:p w:rsidR="005420E7" w:rsidRDefault="00461B4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0</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1</w:t>
      </w:r>
      <w:r>
        <w:rPr>
          <w:rFonts w:ascii="仿宋_GB2312" w:eastAsia="仿宋_GB2312" w:hint="eastAsia"/>
          <w:sz w:val="32"/>
          <w:szCs w:val="32"/>
        </w:rPr>
        <w:t>辆，其中：轿车</w:t>
      </w:r>
      <w:r>
        <w:rPr>
          <w:rFonts w:ascii="仿宋_GB2312" w:eastAsia="仿宋_GB2312" w:hint="eastAsia"/>
          <w:sz w:val="32"/>
          <w:szCs w:val="32"/>
        </w:rPr>
        <w:t>1</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5420E7" w:rsidRDefault="00461B4F">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1.24</w:t>
      </w:r>
      <w:r>
        <w:rPr>
          <w:rFonts w:ascii="仿宋_GB2312" w:eastAsia="仿宋_GB2312" w:hint="eastAsia"/>
          <w:sz w:val="32"/>
          <w:szCs w:val="32"/>
        </w:rPr>
        <w:t>万元。主要用于数字城管及</w:t>
      </w:r>
      <w:r>
        <w:rPr>
          <w:rFonts w:ascii="仿宋_GB2312" w:eastAsia="仿宋_GB2312" w:hint="eastAsia"/>
          <w:sz w:val="32"/>
          <w:szCs w:val="32"/>
        </w:rPr>
        <w:t>12345</w:t>
      </w:r>
      <w:r>
        <w:rPr>
          <w:rFonts w:ascii="仿宋_GB2312" w:eastAsia="仿宋_GB2312" w:hint="eastAsia"/>
          <w:sz w:val="32"/>
          <w:szCs w:val="32"/>
        </w:rPr>
        <w:t>热线工作检查及日常办公等所需的公务用车燃料费、维修费、过路过桥费、保险费等支出。</w:t>
      </w:r>
    </w:p>
    <w:p w:rsidR="005420E7" w:rsidRDefault="00461B4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公务接待费支</w:t>
      </w:r>
      <w:r>
        <w:rPr>
          <w:rFonts w:ascii="仿宋_GB2312" w:eastAsia="仿宋_GB2312" w:hint="eastAsia"/>
          <w:sz w:val="32"/>
          <w:szCs w:val="32"/>
        </w:rPr>
        <w:lastRenderedPageBreak/>
        <w:t>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w:t>
      </w:r>
    </w:p>
    <w:p w:rsidR="005420E7" w:rsidRDefault="00461B4F">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sz w:val="32"/>
          <w:szCs w:val="32"/>
        </w:rPr>
        <w:t>0</w:t>
      </w:r>
      <w:r>
        <w:rPr>
          <w:rFonts w:ascii="仿宋_GB2312" w:eastAsia="仿宋_GB2312" w:hint="eastAsia"/>
          <w:sz w:val="32"/>
          <w:szCs w:val="32"/>
        </w:rPr>
        <w:t>万元。国内公务接待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p>
    <w:p w:rsidR="005420E7" w:rsidRDefault="00461B4F" w:rsidP="00822521">
      <w:pPr>
        <w:spacing w:line="600" w:lineRule="exact"/>
        <w:ind w:firstLineChars="200" w:firstLine="643"/>
        <w:rPr>
          <w:rFonts w:ascii="仿宋_GB2312" w:eastAsia="仿宋_GB2312"/>
          <w:sz w:val="32"/>
          <w:szCs w:val="32"/>
        </w:rPr>
      </w:pPr>
      <w:r>
        <w:rPr>
          <w:rFonts w:ascii="仿宋" w:eastAsia="仿宋" w:hint="eastAsia"/>
          <w:b/>
          <w:sz w:val="32"/>
          <w:szCs w:val="32"/>
        </w:rPr>
        <w:t>外事接待支出</w:t>
      </w:r>
      <w:r>
        <w:rPr>
          <w:rFonts w:ascii="仿宋" w:eastAsia="仿宋" w:hint="eastAsia"/>
          <w:sz w:val="32"/>
          <w:szCs w:val="32"/>
        </w:rPr>
        <w:t>0</w:t>
      </w:r>
      <w:r>
        <w:rPr>
          <w:rFonts w:ascii="仿宋_GB2312" w:eastAsia="仿宋_GB2312" w:hint="eastAsia"/>
          <w:sz w:val="32"/>
          <w:szCs w:val="32"/>
        </w:rPr>
        <w:t>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bookmarkStart w:id="41" w:name="_Toc15377218"/>
      <w:bookmarkStart w:id="42" w:name="_Toc15396610"/>
    </w:p>
    <w:p w:rsidR="005420E7" w:rsidRDefault="00461B4F">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1"/>
      <w:bookmarkEnd w:id="42"/>
    </w:p>
    <w:p w:rsidR="005420E7" w:rsidRDefault="00461B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5420E7" w:rsidRDefault="00461B4F">
      <w:pPr>
        <w:numPr>
          <w:ilvl w:val="0"/>
          <w:numId w:val="3"/>
        </w:numPr>
        <w:spacing w:line="600" w:lineRule="exact"/>
        <w:ind w:firstLine="640"/>
        <w:outlineLvl w:val="1"/>
        <w:rPr>
          <w:rStyle w:val="2Char"/>
          <w:rFonts w:ascii="黑体" w:eastAsia="黑体"/>
          <w:b w:val="0"/>
        </w:rPr>
      </w:pPr>
      <w:bookmarkStart w:id="43" w:name="_Toc15396611"/>
      <w:bookmarkStart w:id="44" w:name="_Toc15377219"/>
      <w:r>
        <w:rPr>
          <w:rStyle w:val="2Char"/>
          <w:rFonts w:ascii="黑体" w:eastAsia="黑体" w:hint="eastAsia"/>
          <w:b w:val="0"/>
        </w:rPr>
        <w:t>国有资本经营预算支出决算情况说明</w:t>
      </w:r>
      <w:bookmarkEnd w:id="43"/>
      <w:bookmarkEnd w:id="44"/>
    </w:p>
    <w:p w:rsidR="005420E7" w:rsidRDefault="00461B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5420E7" w:rsidRDefault="00461B4F">
      <w:pPr>
        <w:numPr>
          <w:ilvl w:val="0"/>
          <w:numId w:val="3"/>
        </w:numPr>
        <w:spacing w:line="600" w:lineRule="exact"/>
        <w:ind w:firstLine="640"/>
        <w:outlineLvl w:val="1"/>
        <w:rPr>
          <w:rStyle w:val="2Char"/>
          <w:rFonts w:ascii="黑体" w:eastAsia="黑体"/>
          <w:b w:val="0"/>
        </w:rPr>
      </w:pPr>
      <w:bookmarkStart w:id="45" w:name="_Toc15396612"/>
      <w:bookmarkStart w:id="46" w:name="_Toc15377221"/>
      <w:r>
        <w:rPr>
          <w:rStyle w:val="2Char"/>
          <w:rFonts w:ascii="黑体" w:eastAsia="黑体" w:hint="eastAsia"/>
          <w:b w:val="0"/>
        </w:rPr>
        <w:t>其他重要事项的情况说明</w:t>
      </w:r>
      <w:bookmarkEnd w:id="45"/>
      <w:bookmarkEnd w:id="46"/>
    </w:p>
    <w:p w:rsidR="005420E7" w:rsidRDefault="00461B4F" w:rsidP="00822521">
      <w:pPr>
        <w:spacing w:line="600" w:lineRule="exact"/>
        <w:ind w:firstLineChars="200" w:firstLine="643"/>
        <w:outlineLvl w:val="2"/>
        <w:rPr>
          <w:rFonts w:ascii="仿宋" w:eastAsia="仿宋"/>
          <w:sz w:val="32"/>
          <w:szCs w:val="32"/>
        </w:rPr>
      </w:pPr>
      <w:bookmarkStart w:id="47" w:name="_Toc15377222"/>
      <w:r>
        <w:rPr>
          <w:rFonts w:ascii="仿宋" w:eastAsia="仿宋" w:hint="eastAsia"/>
          <w:b/>
          <w:sz w:val="32"/>
          <w:szCs w:val="32"/>
        </w:rPr>
        <w:t>（一）机关运行经费支出情况</w:t>
      </w:r>
      <w:bookmarkEnd w:id="47"/>
    </w:p>
    <w:p w:rsidR="005420E7" w:rsidRDefault="00461B4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年，机关运行经费支出</w:t>
      </w:r>
      <w:r>
        <w:rPr>
          <w:rFonts w:ascii="仿宋_GB2312" w:eastAsia="仿宋_GB2312" w:hint="eastAsia"/>
          <w:sz w:val="32"/>
          <w:szCs w:val="32"/>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 xml:space="preserve"> %</w:t>
      </w:r>
      <w:r>
        <w:rPr>
          <w:rFonts w:ascii="仿宋_GB2312" w:eastAsia="仿宋_GB2312" w:hint="eastAsia"/>
          <w:sz w:val="32"/>
          <w:szCs w:val="32"/>
        </w:rPr>
        <w:t>。</w:t>
      </w:r>
    </w:p>
    <w:p w:rsidR="005420E7" w:rsidRDefault="00461B4F" w:rsidP="00822521">
      <w:pPr>
        <w:autoSpaceDE w:val="0"/>
        <w:autoSpaceDN w:val="0"/>
        <w:adjustRightInd w:val="0"/>
        <w:spacing w:line="600" w:lineRule="exact"/>
        <w:ind w:firstLineChars="200" w:firstLine="643"/>
        <w:jc w:val="left"/>
        <w:outlineLvl w:val="2"/>
        <w:rPr>
          <w:rFonts w:ascii="仿宋" w:eastAsia="仿宋"/>
          <w:b/>
          <w:sz w:val="32"/>
          <w:szCs w:val="32"/>
        </w:rPr>
      </w:pPr>
      <w:bookmarkStart w:id="48" w:name="_Toc15377223"/>
      <w:r>
        <w:rPr>
          <w:rFonts w:ascii="仿宋" w:eastAsia="仿宋" w:hint="eastAsia"/>
          <w:b/>
          <w:sz w:val="32"/>
          <w:szCs w:val="32"/>
        </w:rPr>
        <w:t>（二）政府采购支出情况</w:t>
      </w:r>
      <w:bookmarkEnd w:id="48"/>
    </w:p>
    <w:p w:rsidR="005420E7" w:rsidRDefault="00461B4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5420E7" w:rsidRDefault="00461B4F" w:rsidP="00822521">
      <w:pPr>
        <w:autoSpaceDE w:val="0"/>
        <w:autoSpaceDN w:val="0"/>
        <w:adjustRightInd w:val="0"/>
        <w:spacing w:line="600" w:lineRule="exact"/>
        <w:ind w:firstLineChars="200" w:firstLine="643"/>
        <w:jc w:val="left"/>
        <w:outlineLvl w:val="2"/>
        <w:rPr>
          <w:rFonts w:ascii="仿宋" w:eastAsia="仿宋"/>
          <w:b/>
          <w:sz w:val="32"/>
          <w:szCs w:val="32"/>
        </w:rPr>
      </w:pPr>
      <w:bookmarkStart w:id="49" w:name="_Toc15377224"/>
      <w:r>
        <w:rPr>
          <w:rFonts w:ascii="仿宋" w:eastAsia="仿宋" w:hint="eastAsia"/>
          <w:b/>
          <w:sz w:val="32"/>
          <w:szCs w:val="32"/>
        </w:rPr>
        <w:t>（三）国有资产占有使用情况</w:t>
      </w:r>
      <w:bookmarkEnd w:id="49"/>
    </w:p>
    <w:p w:rsidR="005420E7" w:rsidRDefault="00461B4F">
      <w:pPr>
        <w:spacing w:line="600" w:lineRule="exact"/>
        <w:ind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日，攀枝花市数字化城市联动指挥中心共有车辆</w:t>
      </w:r>
      <w:r>
        <w:rPr>
          <w:rFonts w:ascii="仿宋_GB2312" w:eastAsia="仿宋_GB2312" w:hint="eastAsia"/>
          <w:sz w:val="32"/>
          <w:szCs w:val="32"/>
        </w:rPr>
        <w:t>1</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1</w:t>
      </w:r>
      <w:r>
        <w:rPr>
          <w:rFonts w:ascii="仿宋_GB2312" w:eastAsia="仿宋_GB2312" w:hint="eastAsia"/>
          <w:sz w:val="32"/>
          <w:szCs w:val="32"/>
        </w:rPr>
        <w:t>辆，其他用</w:t>
      </w:r>
      <w:r>
        <w:rPr>
          <w:rFonts w:ascii="仿宋_GB2312" w:eastAsia="仿宋_GB2312" w:hint="eastAsia"/>
          <w:sz w:val="32"/>
          <w:szCs w:val="32"/>
        </w:rPr>
        <w:lastRenderedPageBreak/>
        <w:t>车主要是用于数字城管及</w:t>
      </w:r>
      <w:r>
        <w:rPr>
          <w:rFonts w:ascii="仿宋_GB2312" w:eastAsia="仿宋_GB2312" w:hint="eastAsia"/>
          <w:sz w:val="32"/>
          <w:szCs w:val="32"/>
        </w:rPr>
        <w:t>12345</w:t>
      </w:r>
      <w:r>
        <w:rPr>
          <w:rFonts w:ascii="仿宋_GB2312" w:eastAsia="仿宋_GB2312" w:hint="eastAsia"/>
          <w:sz w:val="32"/>
          <w:szCs w:val="32"/>
        </w:rPr>
        <w:t>热线工作检查及日常办公。单价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5420E7" w:rsidRDefault="00461B4F" w:rsidP="00822521">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（四）预算绩效管理情况</w:t>
      </w:r>
    </w:p>
    <w:p w:rsidR="005420E7" w:rsidRDefault="00461B4F">
      <w:pPr>
        <w:pStyle w:val="a0"/>
        <w:spacing w:beforeLines="0" w:before="93"/>
        <w:ind w:firstLineChars="200" w:firstLine="640"/>
        <w:rPr>
          <w:highlight w:val="yellow"/>
        </w:rPr>
      </w:pPr>
      <w:r>
        <w:rPr>
          <w:rFonts w:cs="仿宋_GB2312" w:hint="eastAsia"/>
          <w:sz w:val="32"/>
          <w:szCs w:val="32"/>
        </w:rPr>
        <w:t>根据预算绩效管理要求，本单位在</w:t>
      </w:r>
      <w:r>
        <w:rPr>
          <w:rFonts w:cs="仿宋_GB2312" w:hint="eastAsia"/>
          <w:sz w:val="32"/>
          <w:szCs w:val="32"/>
        </w:rPr>
        <w:t>2022</w:t>
      </w:r>
      <w:r>
        <w:rPr>
          <w:rFonts w:cs="仿宋_GB2312" w:hint="eastAsia"/>
          <w:sz w:val="32"/>
          <w:szCs w:val="32"/>
        </w:rPr>
        <w:t>年度预算编制阶段，组织对住房公积金（事业）、基本医疗保险（事业）等</w:t>
      </w:r>
      <w:r>
        <w:rPr>
          <w:rFonts w:cs="仿宋_GB2312" w:hint="eastAsia"/>
          <w:sz w:val="32"/>
          <w:szCs w:val="32"/>
        </w:rPr>
        <w:t>10</w:t>
      </w:r>
      <w:r>
        <w:rPr>
          <w:rFonts w:cs="仿宋_GB2312" w:hint="eastAsia"/>
          <w:sz w:val="32"/>
          <w:szCs w:val="32"/>
        </w:rPr>
        <w:t>个项目开展了预算事前绩效评估，对</w:t>
      </w:r>
      <w:r>
        <w:rPr>
          <w:rFonts w:cs="仿宋_GB2312" w:hint="eastAsia"/>
          <w:sz w:val="32"/>
          <w:szCs w:val="32"/>
        </w:rPr>
        <w:t>10</w:t>
      </w:r>
      <w:r>
        <w:rPr>
          <w:rFonts w:cs="仿宋_GB2312" w:hint="eastAsia"/>
          <w:sz w:val="32"/>
          <w:szCs w:val="32"/>
        </w:rPr>
        <w:t>个项目编制了绩效目标，预算执行过程中，选取</w:t>
      </w:r>
      <w:r>
        <w:rPr>
          <w:rFonts w:cs="仿宋_GB2312" w:hint="eastAsia"/>
          <w:sz w:val="32"/>
          <w:szCs w:val="32"/>
        </w:rPr>
        <w:t>14</w:t>
      </w:r>
      <w:r>
        <w:rPr>
          <w:rFonts w:cs="仿宋_GB2312" w:hint="eastAsia"/>
          <w:sz w:val="32"/>
          <w:szCs w:val="32"/>
        </w:rPr>
        <w:t>个项目开展绩效监控，组织对</w:t>
      </w:r>
      <w:r>
        <w:rPr>
          <w:rFonts w:cs="仿宋_GB2312" w:hint="eastAsia"/>
          <w:sz w:val="32"/>
          <w:szCs w:val="32"/>
        </w:rPr>
        <w:t>14</w:t>
      </w:r>
      <w:r>
        <w:rPr>
          <w:rFonts w:cs="仿宋_GB2312" w:hint="eastAsia"/>
          <w:sz w:val="32"/>
          <w:szCs w:val="32"/>
        </w:rPr>
        <w:t>个项目开展绩效自评，绩效自评表详见第四部</w:t>
      </w:r>
      <w:r>
        <w:rPr>
          <w:rFonts w:cs="仿宋_GB2312" w:hint="eastAsia"/>
          <w:sz w:val="32"/>
          <w:szCs w:val="32"/>
        </w:rPr>
        <w:t>分附件。</w:t>
      </w:r>
    </w:p>
    <w:p w:rsidR="005420E7" w:rsidRDefault="00461B4F">
      <w:pPr>
        <w:widowControl/>
        <w:jc w:val="left"/>
        <w:rPr>
          <w:rFonts w:ascii="仿宋_GB2312" w:eastAsia="仿宋_GB2312"/>
          <w:b/>
          <w:sz w:val="32"/>
          <w:szCs w:val="32"/>
        </w:rPr>
      </w:pPr>
      <w:r>
        <w:rPr>
          <w:rFonts w:ascii="仿宋_GB2312" w:eastAsia="仿宋_GB2312"/>
          <w:b/>
          <w:sz w:val="32"/>
          <w:szCs w:val="32"/>
        </w:rPr>
        <w:br w:type="page"/>
      </w:r>
    </w:p>
    <w:p w:rsidR="005420E7" w:rsidRDefault="00461B4F">
      <w:pPr>
        <w:numPr>
          <w:ilvl w:val="0"/>
          <w:numId w:val="4"/>
        </w:numPr>
        <w:spacing w:line="600" w:lineRule="exact"/>
        <w:ind w:firstLineChars="150" w:firstLine="660"/>
        <w:jc w:val="center"/>
        <w:outlineLvl w:val="0"/>
        <w:rPr>
          <w:rStyle w:val="1Char"/>
          <w:rFonts w:ascii="黑体" w:eastAsia="黑体"/>
          <w:b w:val="0"/>
        </w:rPr>
      </w:pPr>
      <w:bookmarkStart w:id="50" w:name="_Toc15377225"/>
      <w:bookmarkStart w:id="51" w:name="_Toc15396613"/>
      <w:r>
        <w:rPr>
          <w:rFonts w:ascii="黑体" w:eastAsia="黑体" w:hint="eastAsia"/>
          <w:sz w:val="44"/>
          <w:szCs w:val="44"/>
        </w:rPr>
        <w:lastRenderedPageBreak/>
        <w:t>名</w:t>
      </w:r>
      <w:r>
        <w:rPr>
          <w:rStyle w:val="1Char"/>
          <w:rFonts w:ascii="黑体" w:eastAsia="黑体" w:hint="eastAsia"/>
          <w:b w:val="0"/>
        </w:rPr>
        <w:t>词解释</w:t>
      </w:r>
      <w:bookmarkEnd w:id="50"/>
      <w:bookmarkEnd w:id="51"/>
    </w:p>
    <w:p w:rsidR="005420E7" w:rsidRDefault="005420E7">
      <w:pPr>
        <w:spacing w:line="600" w:lineRule="exact"/>
        <w:jc w:val="left"/>
        <w:rPr>
          <w:rFonts w:ascii="宋体"/>
          <w:b/>
          <w:sz w:val="44"/>
          <w:szCs w:val="44"/>
        </w:rPr>
      </w:pP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hint="eastAsia"/>
          <w:color w:val="auto"/>
          <w:sz w:val="32"/>
          <w:szCs w:val="32"/>
        </w:rPr>
        <w:t>年末结转和结余：指单位按有关规定结转到下年或以后年度继续使用的资金。</w:t>
      </w:r>
    </w:p>
    <w:p w:rsidR="005420E7" w:rsidRDefault="00461B4F">
      <w:pPr>
        <w:ind w:firstLineChars="200" w:firstLine="640"/>
        <w:rPr>
          <w:rFonts w:ascii="仿宋_GB2312" w:eastAsia="仿宋_GB2312" w:cs="仿宋"/>
          <w:kern w:val="0"/>
          <w:sz w:val="32"/>
          <w:szCs w:val="32"/>
        </w:rPr>
      </w:pPr>
      <w:r>
        <w:rPr>
          <w:rFonts w:ascii="仿宋_GB2312" w:eastAsia="仿宋_GB2312" w:hint="eastAsia"/>
          <w:sz w:val="32"/>
          <w:szCs w:val="32"/>
        </w:rPr>
        <w:t>7</w:t>
      </w:r>
      <w:r>
        <w:rPr>
          <w:rFonts w:ascii="仿宋_GB2312" w:eastAsia="仿宋_GB2312"/>
          <w:sz w:val="32"/>
          <w:szCs w:val="32"/>
        </w:rPr>
        <w:t>.</w:t>
      </w:r>
      <w:r>
        <w:rPr>
          <w:rStyle w:val="a7"/>
          <w:rFonts w:ascii="仿宋" w:eastAsia="仿宋" w:hint="eastAsia"/>
          <w:bCs/>
          <w:sz w:val="32"/>
          <w:szCs w:val="32"/>
        </w:rPr>
        <w:t xml:space="preserve"> </w:t>
      </w:r>
      <w:r>
        <w:rPr>
          <w:rFonts w:ascii="仿宋_GB2312" w:eastAsia="仿宋_GB2312" w:cs="仿宋" w:hint="eastAsia"/>
          <w:kern w:val="0"/>
          <w:sz w:val="32"/>
          <w:szCs w:val="32"/>
        </w:rPr>
        <w:t>社会保障和就业（类）行政事业单位养老支出（款）机关事业单位基本养老保险缴费支出（项）：指机关事业单位实施养老保险制度由单位缴纳的基本养老保险费支出。</w:t>
      </w:r>
    </w:p>
    <w:p w:rsidR="005420E7" w:rsidRDefault="00461B4F">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 w:eastAsia="仿宋" w:hint="eastAsia"/>
          <w:b/>
          <w:bCs/>
          <w:sz w:val="32"/>
          <w:szCs w:val="32"/>
        </w:rPr>
        <w:t xml:space="preserve"> </w:t>
      </w:r>
      <w:r>
        <w:rPr>
          <w:rFonts w:ascii="仿宋_GB2312" w:eastAsia="仿宋_GB2312" w:hint="eastAsia"/>
          <w:sz w:val="32"/>
          <w:szCs w:val="32"/>
        </w:rPr>
        <w:t>城乡社区支出（类）其他城乡社区支出（款）其他城乡社区支出（项）</w:t>
      </w:r>
      <w:r>
        <w:rPr>
          <w:rFonts w:ascii="仿宋_GB2312" w:eastAsia="仿宋_GB2312"/>
          <w:sz w:val="32"/>
          <w:szCs w:val="32"/>
        </w:rPr>
        <w:t>:</w:t>
      </w:r>
      <w:r>
        <w:rPr>
          <w:rFonts w:ascii="仿宋_GB2312" w:eastAsia="仿宋_GB2312" w:cs="仿宋" w:hint="eastAsia"/>
          <w:kern w:val="0"/>
          <w:sz w:val="32"/>
          <w:szCs w:val="32"/>
        </w:rPr>
        <w:t xml:space="preserve"> </w:t>
      </w:r>
      <w:r>
        <w:rPr>
          <w:rFonts w:ascii="仿宋_GB2312" w:eastAsia="仿宋_GB2312" w:cs="仿宋" w:hint="eastAsia"/>
          <w:kern w:val="0"/>
          <w:sz w:val="32"/>
          <w:szCs w:val="32"/>
        </w:rPr>
        <w:t>指</w:t>
      </w:r>
      <w:r>
        <w:rPr>
          <w:rFonts w:ascii="仿宋_GB2312" w:eastAsia="仿宋_GB2312" w:hint="eastAsia"/>
          <w:sz w:val="32"/>
          <w:szCs w:val="32"/>
        </w:rPr>
        <w:t>其他用于城乡社区方面的支出。</w:t>
      </w:r>
    </w:p>
    <w:p w:rsidR="005420E7" w:rsidRDefault="00461B4F">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b/>
        </w:rPr>
        <w:t xml:space="preserve"> </w:t>
      </w:r>
      <w:r>
        <w:rPr>
          <w:rFonts w:ascii="仿宋_GB2312" w:eastAsia="仿宋_GB2312" w:hint="eastAsia"/>
          <w:sz w:val="32"/>
          <w:szCs w:val="32"/>
        </w:rPr>
        <w:t>住房保障支出（类）住房改革支出（款）住房公积金（项）：指行政事业单位按人力资源和社会保障部、财政部规定的基本工资和津贴补贴以及规定比例为职工缴纳的住房公积金。</w:t>
      </w:r>
    </w:p>
    <w:p w:rsidR="005420E7" w:rsidRDefault="00461B4F">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基本支出：指为保障机构正常运转、完成日常工作</w:t>
      </w:r>
      <w:r>
        <w:rPr>
          <w:rFonts w:ascii="仿宋_GB2312" w:eastAsia="仿宋_GB2312" w:hint="eastAsia"/>
          <w:sz w:val="32"/>
          <w:szCs w:val="32"/>
        </w:rPr>
        <w:lastRenderedPageBreak/>
        <w:t>任务而发生的人员支出和公用支出。</w:t>
      </w:r>
    </w:p>
    <w:p w:rsidR="005420E7" w:rsidRDefault="00461B4F">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5420E7" w:rsidRDefault="00461B4F">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w:t>
      </w:r>
      <w:r>
        <w:rPr>
          <w:rFonts w:ascii="仿宋_GB2312" w:eastAsia="仿宋_GB2312" w:hint="eastAsia"/>
          <w:color w:val="auto"/>
          <w:sz w:val="32"/>
          <w:szCs w:val="32"/>
        </w:rPr>
        <w:t>定开支的各类公务接待（含外宾接待）支出。</w:t>
      </w:r>
    </w:p>
    <w:p w:rsidR="005420E7" w:rsidRDefault="00461B4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420E7" w:rsidRDefault="005420E7">
      <w:pPr>
        <w:spacing w:line="600" w:lineRule="exact"/>
        <w:jc w:val="center"/>
        <w:outlineLvl w:val="0"/>
        <w:rPr>
          <w:rFonts w:ascii="黑体" w:eastAsia="黑体"/>
          <w:sz w:val="44"/>
          <w:szCs w:val="44"/>
        </w:rPr>
      </w:pPr>
      <w:bookmarkStart w:id="52" w:name="_Toc15396614"/>
      <w:bookmarkStart w:id="53" w:name="_Toc15377226"/>
    </w:p>
    <w:p w:rsidR="005420E7" w:rsidRDefault="005420E7">
      <w:pPr>
        <w:spacing w:line="600" w:lineRule="exact"/>
        <w:jc w:val="center"/>
        <w:outlineLvl w:val="0"/>
        <w:rPr>
          <w:rFonts w:ascii="黑体" w:eastAsia="黑体"/>
          <w:sz w:val="44"/>
          <w:szCs w:val="44"/>
        </w:rPr>
      </w:pPr>
    </w:p>
    <w:p w:rsidR="005420E7" w:rsidRDefault="005420E7">
      <w:pPr>
        <w:spacing w:line="600" w:lineRule="exact"/>
        <w:jc w:val="center"/>
        <w:outlineLvl w:val="0"/>
        <w:rPr>
          <w:rFonts w:ascii="黑体" w:eastAsia="黑体"/>
          <w:sz w:val="44"/>
          <w:szCs w:val="44"/>
        </w:rPr>
      </w:pPr>
    </w:p>
    <w:p w:rsidR="005420E7" w:rsidRDefault="005420E7">
      <w:pPr>
        <w:spacing w:line="600" w:lineRule="exact"/>
        <w:jc w:val="center"/>
        <w:outlineLvl w:val="0"/>
        <w:rPr>
          <w:rFonts w:ascii="黑体" w:eastAsia="黑体"/>
          <w:sz w:val="44"/>
          <w:szCs w:val="44"/>
        </w:rPr>
      </w:pPr>
    </w:p>
    <w:p w:rsidR="005420E7" w:rsidRDefault="00461B4F">
      <w:pPr>
        <w:spacing w:line="600" w:lineRule="exact"/>
        <w:jc w:val="center"/>
        <w:outlineLvl w:val="0"/>
        <w:rPr>
          <w:rStyle w:val="1Char"/>
          <w:rFonts w:ascii="黑体" w:eastAsia="黑体"/>
          <w:b w:val="0"/>
        </w:rPr>
      </w:pPr>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2"/>
    </w:p>
    <w:p w:rsidR="005420E7" w:rsidRDefault="005420E7">
      <w:pPr>
        <w:spacing w:line="572" w:lineRule="exact"/>
        <w:jc w:val="left"/>
        <w:outlineLvl w:val="0"/>
        <w:rPr>
          <w:rFonts w:ascii="仿宋_GB2312" w:eastAsia="仿宋_GB2312" w:cs="仿宋_GB2312"/>
          <w:sz w:val="32"/>
          <w:szCs w:val="32"/>
        </w:rPr>
      </w:pPr>
    </w:p>
    <w:p w:rsidR="005420E7" w:rsidRDefault="00461B4F">
      <w:pPr>
        <w:ind w:firstLineChars="200" w:firstLine="640"/>
        <w:rPr>
          <w:rFonts w:ascii="仿宋_GB2312" w:eastAsia="仿宋_GB2312"/>
          <w:sz w:val="32"/>
          <w:szCs w:val="32"/>
        </w:rPr>
      </w:pPr>
      <w:bookmarkStart w:id="54" w:name="_Toc15396618"/>
      <w:r>
        <w:rPr>
          <w:rFonts w:ascii="仿宋_GB2312" w:eastAsia="仿宋_GB2312" w:hint="eastAsia"/>
          <w:sz w:val="32"/>
          <w:szCs w:val="32"/>
        </w:rPr>
        <w:t>部门预算项目支出绩效自评表（</w:t>
      </w:r>
      <w:r>
        <w:rPr>
          <w:rFonts w:ascii="仿宋_GB2312" w:eastAsia="仿宋_GB2312" w:hint="eastAsia"/>
          <w:sz w:val="32"/>
          <w:szCs w:val="32"/>
        </w:rPr>
        <w:t>2022</w:t>
      </w:r>
      <w:r>
        <w:rPr>
          <w:rFonts w:ascii="仿宋_GB2312" w:eastAsia="仿宋_GB2312" w:hint="eastAsia"/>
          <w:sz w:val="32"/>
          <w:szCs w:val="32"/>
        </w:rPr>
        <w:t>年度）见附件攀枝花市数字化城市联动指挥中心部门预算项目支出自评表。</w:t>
      </w: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5420E7">
      <w:pPr>
        <w:pStyle w:val="a0"/>
        <w:spacing w:beforeLines="0" w:before="93"/>
        <w:rPr>
          <w:rFonts w:cs="仿宋"/>
          <w:sz w:val="32"/>
          <w:szCs w:val="32"/>
        </w:rPr>
      </w:pPr>
    </w:p>
    <w:p w:rsidR="005420E7" w:rsidRDefault="00461B4F">
      <w:pPr>
        <w:spacing w:line="600" w:lineRule="exact"/>
        <w:jc w:val="center"/>
        <w:outlineLvl w:val="0"/>
        <w:rPr>
          <w:rFonts w:ascii="仿宋" w:eastAsia="仿宋"/>
        </w:rPr>
      </w:pPr>
      <w:r>
        <w:rPr>
          <w:rFonts w:ascii="黑体" w:eastAsia="黑体" w:hint="eastAsia"/>
          <w:sz w:val="44"/>
          <w:szCs w:val="44"/>
        </w:rPr>
        <w:lastRenderedPageBreak/>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55" w:name="_Toc15396619"/>
      <w:bookmarkEnd w:id="53"/>
      <w:bookmarkEnd w:id="54"/>
    </w:p>
    <w:p w:rsidR="005420E7" w:rsidRDefault="00461B4F">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rsidR="005420E7" w:rsidRDefault="00461B4F">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5420E7" w:rsidRDefault="00461B4F">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5420E7" w:rsidRDefault="00461B4F">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5420E7" w:rsidRDefault="00461B4F">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5420E7" w:rsidRDefault="00461B4F">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5420E7" w:rsidRDefault="00461B4F">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5420E7" w:rsidRDefault="00461B4F">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5420E7" w:rsidRDefault="00461B4F">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5420E7" w:rsidRDefault="00461B4F">
      <w:pPr>
        <w:pStyle w:val="2"/>
        <w:rPr>
          <w:rFonts w:ascii="仿宋" w:eastAsia="仿宋"/>
        </w:rPr>
      </w:pPr>
      <w:bookmarkStart w:id="64" w:name="_Toc15396628"/>
      <w:r>
        <w:rPr>
          <w:rStyle w:val="2Char"/>
          <w:rFonts w:ascii="仿宋" w:eastAsia="仿宋" w:hint="eastAsia"/>
        </w:rPr>
        <w:t>十、</w:t>
      </w:r>
      <w:bookmarkEnd w:id="64"/>
      <w:r>
        <w:rPr>
          <w:rFonts w:ascii="仿宋" w:eastAsia="仿宋" w:hint="eastAsia"/>
          <w:b w:val="0"/>
        </w:rPr>
        <w:t>政</w:t>
      </w:r>
      <w:r>
        <w:rPr>
          <w:rStyle w:val="2Char"/>
          <w:rFonts w:ascii="仿宋" w:eastAsia="仿宋" w:hint="eastAsia"/>
        </w:rPr>
        <w:t>府性基金预算财政拨款收入支出决算表</w:t>
      </w:r>
    </w:p>
    <w:p w:rsidR="005420E7" w:rsidRDefault="00461B4F">
      <w:pPr>
        <w:pStyle w:val="2"/>
        <w:rPr>
          <w:rFonts w:ascii="仿宋" w:eastAsia="仿宋"/>
        </w:rPr>
      </w:pPr>
      <w:bookmarkStart w:id="65" w:name="_Toc15396629"/>
      <w:r>
        <w:rPr>
          <w:rStyle w:val="2Char"/>
          <w:rFonts w:ascii="仿宋" w:eastAsia="仿宋" w:hint="eastAsia"/>
        </w:rPr>
        <w:t>十一、</w:t>
      </w:r>
      <w:bookmarkEnd w:id="65"/>
      <w:r>
        <w:rPr>
          <w:rFonts w:ascii="仿宋" w:eastAsia="仿宋" w:hint="eastAsia"/>
          <w:b w:val="0"/>
        </w:rPr>
        <w:t>国</w:t>
      </w:r>
      <w:r>
        <w:rPr>
          <w:rStyle w:val="2Char"/>
          <w:rFonts w:ascii="仿宋" w:eastAsia="仿宋" w:hint="eastAsia"/>
        </w:rPr>
        <w:t>有资本经营预算财政拨款收入支出决算表</w:t>
      </w:r>
    </w:p>
    <w:p w:rsidR="005420E7" w:rsidRDefault="00461B4F">
      <w:pPr>
        <w:pStyle w:val="2"/>
        <w:rPr>
          <w:rFonts w:ascii="仿宋" w:eastAsia="仿宋"/>
        </w:rPr>
      </w:pPr>
      <w:bookmarkStart w:id="66" w:name="_Toc15396630"/>
      <w:r>
        <w:rPr>
          <w:rStyle w:val="2Char"/>
          <w:rFonts w:ascii="仿宋" w:eastAsia="仿宋" w:hint="eastAsia"/>
        </w:rPr>
        <w:t>十二、</w:t>
      </w:r>
      <w:bookmarkEnd w:id="66"/>
      <w:r>
        <w:rPr>
          <w:rStyle w:val="2Char"/>
          <w:rFonts w:ascii="仿宋" w:eastAsia="仿宋" w:hint="eastAsia"/>
        </w:rPr>
        <w:t>国有资本经营预算财政拨款支出决算表</w:t>
      </w:r>
    </w:p>
    <w:p w:rsidR="005420E7" w:rsidRDefault="00461B4F">
      <w:pPr>
        <w:pStyle w:val="2"/>
        <w:rPr>
          <w:rFonts w:eastAsia="仿宋"/>
        </w:rPr>
      </w:pPr>
      <w:bookmarkStart w:id="67" w:name="_Toc15396631"/>
      <w:r>
        <w:rPr>
          <w:rStyle w:val="2Char"/>
          <w:rFonts w:ascii="仿宋" w:eastAsia="仿宋" w:hint="eastAsia"/>
        </w:rPr>
        <w:t>十三、</w:t>
      </w:r>
      <w:bookmarkEnd w:id="67"/>
      <w:r>
        <w:rPr>
          <w:rStyle w:val="2Char"/>
          <w:rFonts w:ascii="仿宋" w:eastAsia="仿宋" w:hint="eastAsia"/>
        </w:rPr>
        <w:t>财政拨款“三公”经费支出决算表</w:t>
      </w:r>
    </w:p>
    <w:sectPr w:rsidR="005420E7">
      <w:headerReference w:type="default" r:id="rId14"/>
      <w:footerReference w:type="default" r:id="rId15"/>
      <w:pgSz w:w="11906" w:h="16838"/>
      <w:pgMar w:top="1440" w:right="1797" w:bottom="1440" w:left="1797" w:header="737" w:footer="794" w:gutter="0"/>
      <w:pgNumType w:fmt="numberInDas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4F" w:rsidRDefault="00461B4F">
      <w:r>
        <w:separator/>
      </w:r>
    </w:p>
  </w:endnote>
  <w:endnote w:type="continuationSeparator" w:id="0">
    <w:p w:rsidR="00461B4F" w:rsidRDefault="004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FZFangSong-Z02">
    <w:altName w:val="DejaVu Sans"/>
    <w:charset w:val="00"/>
    <w:family w:val="roman"/>
    <w:pitch w:val="variable"/>
  </w:font>
  <w:font w:name="Times_New_Roman">
    <w:altName w:val="DejaVu Sans"/>
    <w:charset w:val="00"/>
    <w:family w:val="roman"/>
    <w:pitch w:val="variable"/>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70079"/>
    </w:sdtPr>
    <w:sdtEndPr/>
    <w:sdtContent>
      <w:p w:rsidR="005420E7" w:rsidRDefault="00461B4F">
        <w:pPr>
          <w:pStyle w:val="a5"/>
          <w:jc w:val="center"/>
        </w:pPr>
        <w:r>
          <w:fldChar w:fldCharType="begin"/>
        </w:r>
        <w:r>
          <w:instrText>PAGE   \* MERGEFORMAT</w:instrText>
        </w:r>
        <w:r>
          <w:fldChar w:fldCharType="separate"/>
        </w:r>
        <w:r w:rsidR="00822521" w:rsidRPr="00822521">
          <w:rPr>
            <w:noProof/>
            <w:lang w:val="zh-CN"/>
          </w:rPr>
          <w:t>-</w:t>
        </w:r>
        <w:r w:rsidR="00822521">
          <w:rPr>
            <w:noProof/>
          </w:rPr>
          <w:t xml:space="preserve"> 5 -</w:t>
        </w:r>
        <w:r>
          <w:fldChar w:fldCharType="end"/>
        </w:r>
      </w:p>
    </w:sdtContent>
  </w:sdt>
  <w:p w:rsidR="005420E7" w:rsidRDefault="00542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4F" w:rsidRDefault="00461B4F">
      <w:r>
        <w:separator/>
      </w:r>
    </w:p>
  </w:footnote>
  <w:footnote w:type="continuationSeparator" w:id="0">
    <w:p w:rsidR="00461B4F" w:rsidRDefault="004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E7" w:rsidRDefault="005420E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firstLine="0"/>
      </w:pPr>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3">
    <w:nsid w:val="3818A09A"/>
    <w:multiLevelType w:val="singleLevel"/>
    <w:tmpl w:val="3818A09A"/>
    <w:lvl w:ilvl="0">
      <w:start w:val="1"/>
      <w:numFmt w:val="chineseCounting"/>
      <w:lvlRestart w:val="0"/>
      <w:suff w:val="nothing"/>
      <w:lvlText w:val="%1、"/>
      <w:lvlJc w:val="left"/>
      <w:pPr>
        <w:tabs>
          <w:tab w:val="num" w:pos="0"/>
        </w:tabs>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420E7"/>
    <w:rsid w:val="00461B4F"/>
    <w:rsid w:val="005420E7"/>
    <w:rsid w:val="00822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character" w:customStyle="1" w:styleId="fontstyle01">
    <w:name w:val="fontstyle01"/>
    <w:basedOn w:val="a1"/>
    <w:rPr>
      <w:rFonts w:ascii="FZFangSong-Z02" w:hAnsi="FZFangSong-Z02"/>
      <w:b w:val="0"/>
      <w:bCs w:val="0"/>
      <w:i w:val="0"/>
      <w:iCs w:val="0"/>
      <w:color w:val="000000"/>
      <w:sz w:val="34"/>
      <w:szCs w:val="34"/>
    </w:rPr>
  </w:style>
  <w:style w:type="character" w:customStyle="1" w:styleId="fontstyle21">
    <w:name w:val="fontstyle21"/>
    <w:basedOn w:val="a1"/>
    <w:rPr>
      <w:rFonts w:ascii="Times_New_Roman" w:hAnsi="Times_New_Roman"/>
      <w:b w:val="0"/>
      <w:bCs w:val="0"/>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character" w:customStyle="1" w:styleId="fontstyle01">
    <w:name w:val="fontstyle01"/>
    <w:basedOn w:val="a1"/>
    <w:rPr>
      <w:rFonts w:ascii="FZFangSong-Z02" w:hAnsi="FZFangSong-Z02"/>
      <w:b w:val="0"/>
      <w:bCs w:val="0"/>
      <w:i w:val="0"/>
      <w:iCs w:val="0"/>
      <w:color w:val="000000"/>
      <w:sz w:val="34"/>
      <w:szCs w:val="34"/>
    </w:rPr>
  </w:style>
  <w:style w:type="character" w:customStyle="1" w:styleId="fontstyle21">
    <w:name w:val="fontstyle21"/>
    <w:basedOn w:val="a1"/>
    <w:rPr>
      <w:rFonts w:ascii="Times_New_Roman" w:hAnsi="Times_New_Roman"/>
      <w:b w:val="0"/>
      <w:bCs w:val="0"/>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1</Pages>
  <Words>738</Words>
  <Characters>4208</Characters>
  <Application>Microsoft Office Word</Application>
  <DocSecurity>0</DocSecurity>
  <Lines>35</Lines>
  <Paragraphs>9</Paragraphs>
  <ScaleCrop>false</ScaleCrop>
  <Company>四川省财政厅</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95</cp:revision>
  <cp:lastPrinted>2023-08-23T07:57:00Z</cp:lastPrinted>
  <dcterms:created xsi:type="dcterms:W3CDTF">2020-08-05T01:49:00Z</dcterms:created>
  <dcterms:modified xsi:type="dcterms:W3CDTF">2023-09-15T05:37:00Z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