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77193"/>
      <w:bookmarkStart w:id="2" w:name="_Toc15396475"/>
      <w:bookmarkStart w:id="3" w:name="_Toc15396597"/>
      <w:bookmarkStart w:id="4" w:name="_Toc15377425"/>
      <w:bookmarkStart w:id="5" w:name="_Toc15306267"/>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2024年度攀枝花市城市管理行政执法局</w:t>
      </w:r>
    </w:p>
    <w:p>
      <w:pPr>
        <w:pStyle w:val="8"/>
        <w:jc w:val="center"/>
        <w:rPr>
          <w:rFonts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决算公开文字说明</w:t>
      </w:r>
    </w:p>
    <w:p>
      <w:pPr>
        <w:spacing w:line="600" w:lineRule="exact"/>
        <w:jc w:val="center"/>
        <w:outlineLvl w:val="0"/>
        <w:rPr>
          <w:rFonts w:ascii="Times New Roman" w:hAnsi="Times New Roman" w:eastAsia="方正小标宋简体"/>
          <w:color w:val="auto"/>
          <w:sz w:val="72"/>
          <w:szCs w:val="72"/>
          <w:highlight w:val="none"/>
        </w:rPr>
      </w:pPr>
    </w:p>
    <w:p>
      <w:pPr>
        <w:pStyle w:val="22"/>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numberInDash" w:start="1"/>
          <w:cols w:space="720" w:num="1"/>
          <w:titlePg/>
          <w:docGrid w:type="lines" w:linePitch="312" w:charSpace="0"/>
        </w:sectPr>
      </w:pPr>
    </w:p>
    <w:p>
      <w:pPr>
        <w:rPr>
          <w:rFonts w:ascii="Times New Roman" w:hAnsi="Times New Roman"/>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96476"/>
      <w:bookmarkStart w:id="7" w:name="_Toc15377426"/>
      <w:bookmarkStart w:id="8" w:name="_Toc15377194"/>
      <w:bookmarkStart w:id="9" w:name="_Toc15378442"/>
      <w:bookmarkStart w:id="10" w:name="_Toc15396598"/>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hAnsi="Times New Roman" w:eastAsia="方正小标宋简体" w:cs="Times New Roman"/>
          <w:color w:val="auto"/>
          <w:kern w:val="2"/>
          <w:sz w:val="44"/>
          <w:szCs w:val="44"/>
          <w:highlight w:val="none"/>
          <w:lang w:val="en-US" w:eastAsia="zh-CN" w:bidi="ar-SA"/>
        </w:rPr>
        <w:t>攀枝花市城市管理行政执法局决算</w:t>
      </w:r>
      <w:bookmarkEnd w:id="6"/>
      <w:bookmarkEnd w:id="7"/>
      <w:bookmarkEnd w:id="8"/>
      <w:bookmarkEnd w:id="9"/>
      <w:bookmarkEnd w:id="10"/>
      <w:bookmarkEnd w:id="11"/>
    </w:p>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Arial"/>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w:t>
      </w:r>
      <w:r>
        <w:rPr>
          <w:rFonts w:hint="eastAsia" w:asci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年</w:t>
      </w:r>
      <w:r>
        <w:rPr>
          <w:rFonts w:hint="eastAsia" w:asci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3"/>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第一部分 部门概况</w:t>
      </w:r>
      <w:r>
        <w:rPr>
          <w:rFonts w:hint="eastAsia" w:ascii="Times New Roman" w:eastAsia="黑体" w:cs="黑体"/>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......................................................7</w:t>
      </w:r>
    </w:p>
    <w:p>
      <w:pPr>
        <w:pStyle w:val="13"/>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eastAsia="黑体" w:cs="黑体"/>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..........10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...14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.........15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...............................18</w:t>
      </w:r>
    </w:p>
    <w:p>
      <w:pPr>
        <w:pStyle w:val="13"/>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eastAsia="黑体" w:cs="黑体"/>
          <w:color w:val="auto"/>
          <w:sz w:val="32"/>
          <w:szCs w:val="32"/>
          <w:highlight w:val="none"/>
          <w:lang w:val="en-US" w:eastAsia="zh-CN"/>
        </w:rPr>
        <w:t>..................................................20</w:t>
      </w:r>
    </w:p>
    <w:p>
      <w:pPr>
        <w:pStyle w:val="13"/>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eastAsia="黑体" w:cs="黑体"/>
          <w:color w:val="auto"/>
          <w:sz w:val="32"/>
          <w:szCs w:val="32"/>
          <w:highlight w:val="none"/>
          <w:lang w:val="en-US" w:eastAsia="zh-CN"/>
        </w:rPr>
        <w:t>........................................................23</w:t>
      </w:r>
    </w:p>
    <w:p>
      <w:pPr>
        <w:pStyle w:val="13"/>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eastAsia="黑体" w:cs="黑体"/>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..........24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................24</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77196"/>
      <w:bookmarkStart w:id="13" w:name="_Toc15396599"/>
      <w:r>
        <w:rPr>
          <w:rFonts w:hint="eastAsia" w:ascii="Times New Roman" w:hAnsi="Times New Roman" w:eastAsia="仿宋_GB2312" w:cs="仿宋_GB2312"/>
          <w:b/>
          <w:color w:val="auto"/>
          <w:sz w:val="32"/>
          <w:szCs w:val="32"/>
          <w:highlight w:val="none"/>
        </w:rPr>
        <w:br w:type="page"/>
      </w:r>
    </w:p>
    <w:p>
      <w:pPr>
        <w:pStyle w:val="5"/>
        <w:jc w:val="center"/>
        <w:rPr>
          <w:rStyle w:val="20"/>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0"/>
          <w:rFonts w:hint="eastAsia" w:ascii="Times New Roman" w:hAnsi="Times New Roman" w:eastAsia="方正小标宋简体" w:cs="方正小标宋简体"/>
          <w:b w:val="0"/>
          <w:bCs w:val="0"/>
          <w:color w:val="auto"/>
          <w:highlight w:val="none"/>
        </w:rPr>
        <w:t>部门概况</w:t>
      </w:r>
      <w:bookmarkEnd w:id="12"/>
      <w:bookmarkEnd w:id="13"/>
    </w:p>
    <w:p>
      <w:pPr>
        <w:widowControl/>
        <w:jc w:val="left"/>
        <w:rPr>
          <w:rFonts w:ascii="Times New Roman" w:hAnsi="Times New Roman" w:eastAsia="黑体"/>
          <w:color w:val="auto"/>
          <w:sz w:val="32"/>
          <w:szCs w:val="32"/>
          <w:highlight w:val="none"/>
        </w:rPr>
      </w:pPr>
    </w:p>
    <w:p>
      <w:pPr>
        <w:pStyle w:val="6"/>
        <w:rPr>
          <w:rFonts w:hint="eastAsia" w:ascii="Times New Roman" w:hAnsi="Times New Roman" w:eastAsia="黑体"/>
          <w:b w:val="0"/>
          <w:color w:val="auto"/>
          <w:highlight w:val="none"/>
          <w:lang w:eastAsia="zh-CN"/>
        </w:rPr>
      </w:pPr>
      <w:bookmarkStart w:id="14" w:name="_Toc15396600"/>
      <w:bookmarkStart w:id="15" w:name="_Toc15377197"/>
      <w:r>
        <w:rPr>
          <w:rFonts w:hint="eastAsia" w:ascii="Times New Roman" w:hAnsi="Times New Roman" w:eastAsia="黑体"/>
          <w:b w:val="0"/>
          <w:color w:val="auto"/>
          <w:highlight w:val="none"/>
          <w:lang w:val="en-US" w:eastAsia="zh-CN"/>
        </w:rPr>
        <w:t xml:space="preserve">    </w:t>
      </w:r>
      <w:r>
        <w:rPr>
          <w:rFonts w:hint="eastAsia" w:ascii="Times New Roman" w:hAnsi="Times New Roman" w:eastAsia="黑体"/>
          <w:b w:val="0"/>
          <w:color w:val="auto"/>
          <w:highlight w:val="none"/>
        </w:rPr>
        <w:t>一、</w:t>
      </w:r>
      <w:bookmarkEnd w:id="14"/>
      <w:bookmarkEnd w:id="15"/>
      <w:r>
        <w:rPr>
          <w:rFonts w:hint="eastAsia" w:ascii="Times New Roman" w:hAnsi="Times New Roman" w:eastAsia="黑体"/>
          <w:b w:val="0"/>
          <w:color w:val="auto"/>
          <w:highlight w:val="none"/>
          <w:lang w:eastAsia="zh-CN"/>
        </w:rPr>
        <w:t>部门职责</w:t>
      </w:r>
      <w:bookmarkStart w:id="16" w:name="_Toc15396601"/>
      <w:bookmarkStart w:id="17" w:name="_Toc15377200"/>
    </w:p>
    <w:p>
      <w:pPr>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 xml:space="preserve">    </w:t>
      </w:r>
      <w:r>
        <w:rPr>
          <w:rFonts w:hint="eastAsia" w:ascii="仿宋_GB2312" w:eastAsia="仿宋_GB2312" w:cs="仿宋_GB2312"/>
          <w:color w:val="auto"/>
          <w:sz w:val="32"/>
          <w:szCs w:val="32"/>
          <w:highlight w:val="none"/>
        </w:rPr>
        <w:t>四川省攀枝花市城市管理行政执法局贯彻落实党中央关于城市管理工作的方针政策和省委、市委的决策部署，在履行职责过程中坚持和加强党对城市管理工作的集中统一领导。主要职责是：</w:t>
      </w:r>
    </w:p>
    <w:p>
      <w:pPr>
        <w:pageBreakBefore w:val="0"/>
        <w:widowControl w:val="0"/>
        <w:kinsoku/>
        <w:wordWrap/>
        <w:overflowPunct/>
        <w:topLinePunct w:val="0"/>
        <w:autoSpaceDE/>
        <w:autoSpaceDN/>
        <w:bidi w:val="0"/>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1.负责拟订城市管理地方性法规、规章草案。拟订全市城市管理发展规划、实施计划、管理标准等规范性文件。会同相关部门拟订城市管理工作目标并组织实施。</w:t>
      </w:r>
    </w:p>
    <w:p>
      <w:pPr>
        <w:pageBreakBefore w:val="0"/>
        <w:widowControl w:val="0"/>
        <w:kinsoku/>
        <w:wordWrap/>
        <w:overflowPunct/>
        <w:topLinePunct w:val="0"/>
        <w:autoSpaceDE/>
        <w:autoSpaceDN/>
        <w:bidi w:val="0"/>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2.负责城市管理的行政执法工作。集中行使市容环境卫生管理、城市绿化管理、公用事业管理方面的行政处罚权。根据省、市部署和要求，推进城市执法体制改革、改进城市管理工作。</w:t>
      </w:r>
    </w:p>
    <w:p>
      <w:pPr>
        <w:pageBreakBefore w:val="0"/>
        <w:widowControl w:val="0"/>
        <w:kinsoku/>
        <w:wordWrap/>
        <w:overflowPunct/>
        <w:topLinePunct w:val="0"/>
        <w:autoSpaceDE/>
        <w:autoSpaceDN/>
        <w:bidi w:val="0"/>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3.负责城市市容环境卫生综合管理工作。依法对城市市容环境卫生实施监督检查和考核。负责环境卫生作业企业的行业管理。负责城市建城区户外广告和招牌的监督管理。</w:t>
      </w:r>
    </w:p>
    <w:p>
      <w:pPr>
        <w:pageBreakBefore w:val="0"/>
        <w:widowControl w:val="0"/>
        <w:kinsoku/>
        <w:wordWrap/>
        <w:overflowPunct/>
        <w:topLinePunct w:val="0"/>
        <w:autoSpaceDE/>
        <w:autoSpaceDN/>
        <w:bidi w:val="0"/>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4.负责全市城市绿化监督管理工作。负责对全市城市园林绿化行业的管理、业务指导、培训、督促和检查。负责城市园林绿化管理标准和城市园林绿化建设工程有关管理规范的制定。负责城市建成区城市主干道道路两侧的行道树及其附属公共绿地的管理。负责城市规划区古树名木的保护管理工作。负责对权限内园林绿化企业监督管理工作。</w:t>
      </w:r>
    </w:p>
    <w:p>
      <w:pPr>
        <w:pageBreakBefore w:val="0"/>
        <w:widowControl w:val="0"/>
        <w:kinsoku/>
        <w:wordWrap/>
        <w:overflowPunct/>
        <w:topLinePunct w:val="0"/>
        <w:autoSpaceDE/>
        <w:autoSpaceDN/>
        <w:bidi w:val="0"/>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5.负责城镇燃气行业管理工作。负责对燃气企业的运营和服务监督指导。负责城镇燃气的特许经营及企业资质管理工作。拟订编制城镇燃气专项规划。负责燃气行业的统计分析工作。负责安全生产和职业健康工作。编制安全应急预案，参与安全事故的应急处置和事故调查。承担城市管理事权范围内应急突发事件的处置和应急抢险工作。牵头承担城市燃气设施的建设工作。牵头负责环境卫生、城市绿化、城市燃气设施建设的质量安全、文明施工等工作。</w:t>
      </w:r>
    </w:p>
    <w:p>
      <w:pPr>
        <w:pageBreakBefore w:val="0"/>
        <w:widowControl w:val="0"/>
        <w:kinsoku/>
        <w:wordWrap/>
        <w:overflowPunct/>
        <w:topLinePunct w:val="0"/>
        <w:autoSpaceDE/>
        <w:autoSpaceDN/>
        <w:bidi w:val="0"/>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6.负责城市环境卫生的行业管理工作。负责拟订公共环卫设施管理规范和标准。负责拟订本市环境卫生清扫保洁、垃圾收运管理规范标准并组织实施。负责城市生活垃圾分类，拟订生活垃圾分类投放、收集、运输、处置等管理标准和技术规范并监督实施</w:t>
      </w:r>
      <w:bookmarkStart w:id="77" w:name="_GoBack"/>
      <w:bookmarkEnd w:id="77"/>
      <w:r>
        <w:rPr>
          <w:rFonts w:hint="eastAsia" w:ascii="仿宋_GB2312" w:eastAsia="仿宋_GB2312" w:cs="仿宋_GB2312"/>
          <w:color w:val="auto"/>
          <w:sz w:val="32"/>
          <w:szCs w:val="32"/>
          <w:highlight w:val="none"/>
        </w:rPr>
        <w:t>。负责餐厨垃圾、生活垃圾的收集、运输、处置以及建筑垃圾的运输、消纳处置和资源化利用的监督管理。组织开展生活垃圾、餐厨垃圾、建筑垃圾方面集中整治工作。负责监督管理市级生活垃圾、餐厨垃圾处置项目的运营。负责爱国卫生运动相关工作。指导城市环卫行业的市场化工作。组织开展环境卫生方面集中整治工作。负责组织处理环境卫生相关突发、应急事件。牵头承担环境卫生设施的建设工作。</w:t>
      </w:r>
    </w:p>
    <w:p>
      <w:pPr>
        <w:pageBreakBefore w:val="0"/>
        <w:widowControl w:val="0"/>
        <w:kinsoku/>
        <w:wordWrap/>
        <w:overflowPunct/>
        <w:topLinePunct w:val="0"/>
        <w:autoSpaceDE/>
        <w:autoSpaceDN/>
        <w:bidi w:val="0"/>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7.负责城市市容市貌的行业管理工作。负责拟订城市临街建筑（构） 物外立面、户外广告、招牌等城市容貌秩序管理、城市精细化管理标准并组织实施。负责城市容貌秩序监督管理，组织开展“门前五包”推进工作和有损城市容貌的乱象治理。组织开展节假日、重大活动期间市容秩序保障工作。负责监督管理全市户外广告和招牌设置、户外广告设施和公共空间资源有偿出让的相关工作。负责城市管理治理体系和治理能力建设、监督检查和考评工作。牵头组织全市城乡环境综合治理工作。监督、协调城市管理的数字化、智能化建设与运行工作。负责12345 、12319民生热线的监督管理工作。牵头开展城市管理领域的大数据开发与应用。</w:t>
      </w:r>
    </w:p>
    <w:p>
      <w:pPr>
        <w:pageBreakBefore w:val="0"/>
        <w:widowControl w:val="0"/>
        <w:kinsoku/>
        <w:wordWrap/>
        <w:overflowPunct/>
        <w:topLinePunct w:val="0"/>
        <w:autoSpaceDE/>
        <w:autoSpaceDN/>
        <w:bidi w:val="0"/>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8.拟订城市管理工作经费的中长期计划和年度计划，会同有关部门对使用情况实施监督管理。</w:t>
      </w:r>
    </w:p>
    <w:p>
      <w:pPr>
        <w:pageBreakBefore w:val="0"/>
        <w:widowControl w:val="0"/>
        <w:kinsoku/>
        <w:wordWrap/>
        <w:overflowPunct/>
        <w:topLinePunct w:val="0"/>
        <w:autoSpaceDE/>
        <w:autoSpaceDN/>
        <w:bidi w:val="0"/>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9.参与城市新建、改扩建项目中涉及市容环境卫生、园林绿化项目的规划、方案审查、综合验收。</w:t>
      </w:r>
    </w:p>
    <w:p>
      <w:pPr>
        <w:pageBreakBefore w:val="0"/>
        <w:widowControl w:val="0"/>
        <w:kinsoku/>
        <w:wordWrap/>
        <w:overflowPunct/>
        <w:topLinePunct w:val="0"/>
        <w:autoSpaceDE/>
        <w:autoSpaceDN/>
        <w:bidi w:val="0"/>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10.承担职责范围内的安全生产和职业健康、生态环境保护、审批服务便民化等工作。</w:t>
      </w:r>
    </w:p>
    <w:p>
      <w:pPr>
        <w:pageBreakBefore w:val="0"/>
        <w:widowControl w:val="0"/>
        <w:kinsoku/>
        <w:wordWrap/>
        <w:overflowPunct/>
        <w:topLinePunct w:val="0"/>
        <w:autoSpaceDE/>
        <w:autoSpaceDN/>
        <w:bidi w:val="0"/>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11.完成市委、市政府交办的其他任务。</w:t>
      </w:r>
    </w:p>
    <w:p>
      <w:pPr>
        <w:pageBreakBefore w:val="0"/>
        <w:widowControl w:val="0"/>
        <w:kinsoku/>
        <w:wordWrap/>
        <w:overflowPunct/>
        <w:topLinePunct w:val="0"/>
        <w:autoSpaceDE/>
        <w:autoSpaceDN/>
        <w:bidi w:val="0"/>
        <w:ind w:firstLine="640" w:firstLineChars="200"/>
        <w:textAlignment w:val="auto"/>
        <w:rPr>
          <w:rFonts w:hint="eastAsia"/>
          <w:lang w:eastAsia="zh-CN"/>
        </w:rPr>
      </w:pPr>
      <w:r>
        <w:rPr>
          <w:rFonts w:hint="eastAsia" w:ascii="仿宋_GB2312" w:eastAsia="仿宋_GB2312" w:cs="仿宋_GB2312"/>
          <w:color w:val="auto"/>
          <w:sz w:val="32"/>
          <w:szCs w:val="32"/>
          <w:highlight w:val="none"/>
        </w:rPr>
        <w:t>12.职能转变。根据“放管服”改革和政府职能转变的要求，精简审批环节，优化项目报建审批流程，推动“最多跑一次”“互联网+政务服务”等改革事项取得重大突破。参与并联审批、联合勘验、联合测绘、联合审图、联合验收以及区域评估。推动审批服务理念、制度、作风全方位深层次变革，最大限度提高企业和群众办事便捷性。推进线上线下深度融合。运用大数据精准分析和评估审批服务办件情况，有针对性地改进办理流程，让办事更便捷、服务更优质。以审批智能化、服务自助化、办事移动化为重点，整合实体大厅、网上平台、移动客户端、自助终端、服务热线等，建立统一的政务咨询投诉举报平台，实现线上线下功能互补、融合发展。加快水、气等服务领域改革，引入社会竞争，强化行业监管和社会监督，解决办事手续繁、效率低问题，提高服务质量。压缩办水办气时间，推动取消申请费、手续费等收费。</w:t>
      </w:r>
    </w:p>
    <w:p>
      <w:pPr>
        <w:pStyle w:val="6"/>
        <w:keepNext/>
        <w:keepLines/>
        <w:pageBreakBefore w:val="0"/>
        <w:widowControl w:val="0"/>
        <w:kinsoku/>
        <w:wordWrap/>
        <w:overflowPunct/>
        <w:topLinePunct w:val="0"/>
        <w:autoSpaceDE/>
        <w:autoSpaceDN/>
        <w:bidi w:val="0"/>
        <w:ind w:firstLine="640" w:firstLineChars="200"/>
        <w:textAlignment w:val="auto"/>
        <w:rPr>
          <w:rStyle w:val="21"/>
          <w:rFonts w:ascii="Times New Roman" w:hAnsi="Times New Roman"/>
          <w:b w:val="0"/>
          <w:bCs w:val="0"/>
          <w:color w:val="auto"/>
          <w:highlight w:val="none"/>
        </w:rPr>
      </w:pPr>
      <w:r>
        <w:rPr>
          <w:rFonts w:hint="eastAsia" w:ascii="Times New Roman" w:hAnsi="Times New Roman" w:eastAsia="黑体"/>
          <w:b w:val="0"/>
          <w:color w:val="auto"/>
          <w:highlight w:val="none"/>
        </w:rPr>
        <w:t>二、机</w:t>
      </w:r>
      <w:r>
        <w:rPr>
          <w:rStyle w:val="21"/>
          <w:rFonts w:hint="eastAsia" w:ascii="Times New Roman" w:hAnsi="Times New Roman" w:eastAsia="黑体"/>
          <w:b w:val="0"/>
          <w:bCs w:val="0"/>
          <w:color w:val="auto"/>
          <w:highlight w:val="none"/>
        </w:rPr>
        <w:t>构设置</w:t>
      </w:r>
      <w:bookmarkEnd w:id="16"/>
      <w:bookmarkEnd w:id="17"/>
    </w:p>
    <w:p>
      <w:pPr>
        <w:pageBreakBefore w:val="0"/>
        <w:widowControl w:val="0"/>
        <w:kinsoku/>
        <w:wordWrap/>
        <w:overflowPunct/>
        <w:topLinePunct w:val="0"/>
        <w:autoSpaceDE/>
        <w:autoSpaceDN/>
        <w:bidi w:val="0"/>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仿宋_GB2312" w:eastAsia="仿宋_GB2312" w:cs="仿宋_GB2312"/>
          <w:color w:val="auto"/>
          <w:sz w:val="32"/>
          <w:szCs w:val="32"/>
          <w:highlight w:val="none"/>
        </w:rPr>
        <w:t>四川省攀枝花市城市管理行政执法局（本级）</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个，其中行政单</w:t>
      </w:r>
      <w:r>
        <w:rPr>
          <w:rFonts w:hint="eastAsia" w:eastAsia="仿宋_GB2312" w:cs="仿宋_GB2312"/>
          <w:color w:val="auto"/>
          <w:sz w:val="32"/>
          <w:szCs w:val="32"/>
          <w:highlight w:val="none"/>
          <w:lang w:eastAsia="zh-CN"/>
        </w:rPr>
        <w:t>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个。</w:t>
      </w:r>
    </w:p>
    <w:p>
      <w:pPr>
        <w:pStyle w:val="8"/>
        <w:pageBreakBefore w:val="0"/>
        <w:widowControl w:val="0"/>
        <w:kinsoku/>
        <w:wordWrap/>
        <w:overflowPunct/>
        <w:topLinePunct w:val="0"/>
        <w:autoSpaceDE/>
        <w:autoSpaceDN/>
        <w:adjustRightInd w:val="0"/>
        <w:snapToGrid w:val="0"/>
        <w:spacing w:before="93" w:beforeLines="0" w:line="600"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纳入</w:t>
      </w:r>
      <w:r>
        <w:rPr>
          <w:sz w:val="32"/>
          <w:szCs w:val="32"/>
        </w:rPr>
        <w:t>四川省攀枝花市城市管理行政执法局（本级）</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bookmarkStart w:id="18" w:name="_Toc15377202"/>
      <w:bookmarkStart w:id="19" w:name="_Toc15377433"/>
      <w:bookmarkStart w:id="20" w:name="_Toc15306276"/>
      <w:bookmarkStart w:id="21" w:name="_Toc15378449"/>
    </w:p>
    <w:p>
      <w:pPr>
        <w:pStyle w:val="8"/>
        <w:pageBreakBefore w:val="0"/>
        <w:widowControl w:val="0"/>
        <w:kinsoku/>
        <w:wordWrap/>
        <w:overflowPunct/>
        <w:topLinePunct w:val="0"/>
        <w:autoSpaceDE/>
        <w:autoSpaceDN/>
        <w:adjustRightInd w:val="0"/>
        <w:snapToGrid w:val="0"/>
        <w:spacing w:before="93" w:beforeLines="0" w:line="600" w:lineRule="exact"/>
        <w:ind w:firstLine="640" w:firstLineChars="200"/>
        <w:rPr>
          <w:rFonts w:ascii="Times New Roman" w:hAnsi="Times New Roman" w:cs="仿宋_GB2312"/>
          <w:color w:val="auto"/>
          <w:sz w:val="32"/>
          <w:szCs w:val="32"/>
          <w:highlight w:val="none"/>
          <w:lang w:eastAsia="zh-CN"/>
        </w:rPr>
      </w:pPr>
      <w:r>
        <w:rPr>
          <w:rFonts w:ascii="Times New Roman" w:hAnsi="Times New Roman" w:eastAsia="仿宋_GB2312" w:cs="仿宋_GB2312"/>
          <w:color w:val="auto"/>
          <w:sz w:val="32"/>
          <w:szCs w:val="32"/>
          <w:highlight w:val="none"/>
        </w:rPr>
        <w:t>1.</w:t>
      </w:r>
      <w:r>
        <w:rPr>
          <w:rFonts w:hint="eastAsia" w:ascii="Times New Roman" w:hAnsi="Times New Roman" w:cs="仿宋_GB2312"/>
          <w:color w:val="auto"/>
          <w:sz w:val="32"/>
          <w:szCs w:val="32"/>
          <w:highlight w:val="none"/>
          <w:lang w:eastAsia="zh-CN"/>
        </w:rPr>
        <w:t>攀枝花市园林绿化服务中心</w:t>
      </w:r>
      <w:bookmarkEnd w:id="18"/>
      <w:bookmarkEnd w:id="19"/>
      <w:bookmarkEnd w:id="20"/>
      <w:bookmarkEnd w:id="21"/>
      <w:bookmarkStart w:id="22" w:name="_Toc15377434"/>
      <w:bookmarkStart w:id="23" w:name="_Toc15377203"/>
      <w:bookmarkStart w:id="24" w:name="_Toc15378450"/>
      <w:bookmarkStart w:id="25" w:name="_Toc15306277"/>
    </w:p>
    <w:p>
      <w:pPr>
        <w:pStyle w:val="8"/>
        <w:pageBreakBefore w:val="0"/>
        <w:widowControl w:val="0"/>
        <w:kinsoku/>
        <w:wordWrap/>
        <w:overflowPunct/>
        <w:topLinePunct w:val="0"/>
        <w:autoSpaceDE/>
        <w:autoSpaceDN/>
        <w:adjustRightInd w:val="0"/>
        <w:snapToGrid w:val="0"/>
        <w:spacing w:before="93" w:beforeLines="0" w:line="600" w:lineRule="exact"/>
        <w:ind w:firstLine="640" w:firstLineChars="200"/>
        <w:rPr>
          <w:rFonts w:hint="eastAsia" w:ascii="Times New Roman" w:hAnsi="Times New Roman" w:eastAsia="仿宋_GB2312" w:cs="仿宋_GB2312"/>
          <w:color w:val="auto"/>
          <w:sz w:val="32"/>
          <w:szCs w:val="32"/>
          <w:highlight w:val="none"/>
        </w:rPr>
      </w:pPr>
      <w:r>
        <w:rPr>
          <w:rFonts w:ascii="Times New Roman" w:hAnsi="Times New Roman" w:cs="仿宋_GB2312"/>
          <w:color w:val="auto"/>
          <w:sz w:val="32"/>
          <w:szCs w:val="32"/>
          <w:highlight w:val="none"/>
          <w:lang w:eastAsia="zh-CN"/>
        </w:rPr>
        <w:t>2.</w:t>
      </w:r>
      <w:r>
        <w:rPr>
          <w:rFonts w:hint="eastAsia" w:ascii="Times New Roman" w:hAnsi="Times New Roman" w:cs="仿宋_GB2312"/>
          <w:color w:val="auto"/>
          <w:sz w:val="32"/>
          <w:szCs w:val="32"/>
          <w:highlight w:val="none"/>
          <w:lang w:eastAsia="zh-CN"/>
        </w:rPr>
        <w:t>攀枝花市数字化城市联动指挥中心</w:t>
      </w:r>
      <w:bookmarkEnd w:id="22"/>
      <w:bookmarkEnd w:id="23"/>
      <w:bookmarkEnd w:id="24"/>
      <w:bookmarkEnd w:id="25"/>
    </w:p>
    <w:p>
      <w:pPr>
        <w:pageBreakBefore w:val="0"/>
        <w:widowControl/>
        <w:kinsoku/>
        <w:wordWrap/>
        <w:overflowPunct/>
        <w:topLinePunct w:val="0"/>
        <w:autoSpaceDE/>
        <w:autoSpaceDN/>
        <w:bidi w:val="0"/>
        <w:ind w:firstLine="640" w:firstLineChars="200"/>
        <w:jc w:val="left"/>
        <w:textAlignment w:val="auto"/>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5"/>
        <w:keepNext/>
        <w:keepLines/>
        <w:pageBreakBefore w:val="0"/>
        <w:widowControl w:val="0"/>
        <w:kinsoku/>
        <w:wordWrap/>
        <w:overflowPunct/>
        <w:topLinePunct w:val="0"/>
        <w:autoSpaceDE/>
        <w:autoSpaceDN/>
        <w:bidi w:val="0"/>
        <w:jc w:val="center"/>
        <w:textAlignment w:val="auto"/>
        <w:rPr>
          <w:rFonts w:hint="eastAsia" w:ascii="Times New Roman" w:hAnsi="Times New Roman" w:eastAsia="方正小标宋简体" w:cs="方正小标宋简体"/>
          <w:b w:val="0"/>
          <w:color w:val="auto"/>
          <w:highlight w:val="none"/>
        </w:rPr>
      </w:pPr>
      <w:bookmarkStart w:id="26" w:name="_Toc15396602"/>
      <w:bookmarkStart w:id="27"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26"/>
      <w:bookmarkEnd w:id="27"/>
    </w:p>
    <w:p>
      <w:pPr>
        <w:pageBreakBefore w:val="0"/>
        <w:widowControl w:val="0"/>
        <w:kinsoku/>
        <w:wordWrap/>
        <w:overflowPunct/>
        <w:topLinePunct w:val="0"/>
        <w:autoSpaceDE/>
        <w:autoSpaceDN/>
        <w:bidi w:val="0"/>
        <w:ind w:firstLine="420" w:firstLineChars="200"/>
        <w:textAlignment w:val="auto"/>
        <w:rPr>
          <w:rFonts w:ascii="Times New Roman" w:hAnsi="Times New Roman"/>
          <w:color w:val="auto"/>
          <w:highlight w:val="none"/>
        </w:rPr>
      </w:pPr>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Style w:val="21"/>
          <w:rFonts w:hint="eastAsia" w:ascii="Times New Roman" w:hAnsi="Times New Roman" w:eastAsia="黑体"/>
          <w:b w:val="0"/>
          <w:color w:val="auto"/>
          <w:highlight w:val="none"/>
        </w:rPr>
      </w:pPr>
      <w:bookmarkStart w:id="28" w:name="_Toc15377205"/>
      <w:bookmarkStart w:id="2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1"/>
          <w:rFonts w:hint="eastAsia" w:ascii="Times New Roman" w:hAnsi="Times New Roman" w:eastAsia="黑体"/>
          <w:b w:val="0"/>
          <w:color w:val="auto"/>
          <w:highlight w:val="none"/>
        </w:rPr>
        <w:t>入支出决算总体情况说明</w:t>
      </w:r>
      <w:bookmarkEnd w:id="28"/>
      <w:bookmarkEnd w:id="29"/>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2024年度收入、支出总计均为1474.13万元。与202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年度相比，收入、支出总计各增加</w:t>
      </w:r>
      <w:r>
        <w:rPr>
          <w:rFonts w:hint="eastAsia" w:ascii="Times New Roman" w:hAnsi="Times New Roman" w:eastAsia="仿宋_GB2312" w:cs="仿宋_GB2312"/>
          <w:color w:val="auto"/>
          <w:sz w:val="32"/>
          <w:szCs w:val="32"/>
          <w:highlight w:val="none"/>
          <w:lang w:val="en-US" w:eastAsia="zh-CN"/>
        </w:rPr>
        <w:t>138.69</w:t>
      </w:r>
      <w:r>
        <w:rPr>
          <w:rFonts w:hint="eastAsia" w:ascii="Times New Roman" w:hAnsi="Times New Roman" w:eastAsia="仿宋_GB2312" w:cs="仿宋_GB2312"/>
          <w:color w:val="auto"/>
          <w:sz w:val="32"/>
          <w:szCs w:val="32"/>
          <w:highlight w:val="none"/>
          <w:lang w:eastAsia="zh-CN"/>
        </w:rPr>
        <w:t>万元，增长</w:t>
      </w:r>
      <w:r>
        <w:rPr>
          <w:rFonts w:hint="eastAsia" w:ascii="Times New Roman" w:hAnsi="Times New Roman" w:eastAsia="仿宋_GB2312" w:cs="仿宋_GB2312"/>
          <w:color w:val="auto"/>
          <w:sz w:val="32"/>
          <w:szCs w:val="32"/>
          <w:highlight w:val="none"/>
          <w:lang w:val="en-US" w:eastAsia="zh-CN"/>
        </w:rPr>
        <w:t>10.39</w:t>
      </w:r>
      <w:r>
        <w:rPr>
          <w:rFonts w:hint="eastAsia" w:ascii="Times New Roman" w:hAnsi="Times New Roman" w:eastAsia="仿宋_GB2312" w:cs="仿宋_GB2312"/>
          <w:color w:val="auto"/>
          <w:sz w:val="32"/>
          <w:szCs w:val="32"/>
          <w:highlight w:val="none"/>
          <w:lang w:eastAsia="zh-CN"/>
        </w:rPr>
        <w:t>%。主要变动原因是</w:t>
      </w:r>
      <w:r>
        <w:rPr>
          <w:rFonts w:hint="eastAsia" w:ascii="Times New Roman" w:hAnsi="Times New Roman" w:eastAsia="仿宋_GB2312" w:cs="仿宋_GB2312"/>
          <w:color w:val="auto"/>
          <w:sz w:val="32"/>
          <w:szCs w:val="32"/>
          <w:highlight w:val="none"/>
          <w:lang w:val="en-US" w:eastAsia="zh-CN"/>
        </w:rPr>
        <w:t>2024年新增偿还往年拖欠企业账款，导致项目支出增加</w:t>
      </w:r>
      <w:r>
        <w:rPr>
          <w:rFonts w:hint="eastAsia" w:ascii="Times New Roman" w:hAnsi="Times New Roman" w:eastAsia="仿宋_GB2312" w:cs="仿宋_GB2312"/>
          <w:color w:val="auto"/>
          <w:sz w:val="32"/>
          <w:szCs w:val="32"/>
          <w:highlight w:val="none"/>
          <w:lang w:eastAsia="zh-CN"/>
        </w:rPr>
        <w:t>。</w:t>
      </w:r>
    </w:p>
    <w:p>
      <w:pPr>
        <w:pStyle w:val="27"/>
        <w:keepNext w:val="0"/>
        <w:keepLines w:val="0"/>
        <w:pageBreakBefore w:val="0"/>
        <w:widowControl w:val="0"/>
        <w:kinsoku/>
        <w:wordWrap/>
        <w:overflowPunct/>
        <w:topLinePunct w:val="0"/>
        <w:autoSpaceDE/>
        <w:autoSpaceDN/>
        <w:bidi w:val="0"/>
        <w:adjustRightInd/>
        <w:snapToGrid/>
        <w:spacing w:line="600" w:lineRule="exact"/>
        <w:ind w:left="0" w:firstLine="420" w:firstLineChars="200"/>
        <w:textAlignment w:val="auto"/>
        <w:outlineLvl w:val="1"/>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048" behindDoc="0" locked="0" layoutInCell="1" allowOverlap="1">
            <wp:simplePos x="0" y="0"/>
            <wp:positionH relativeFrom="column">
              <wp:posOffset>92075</wp:posOffset>
            </wp:positionH>
            <wp:positionV relativeFrom="paragraph">
              <wp:posOffset>158750</wp:posOffset>
            </wp:positionV>
            <wp:extent cx="4657725" cy="2753995"/>
            <wp:effectExtent l="6350" t="6350" r="22225" b="20955"/>
            <wp:wrapSquare wrapText="bothSides"/>
            <wp:docPr id="103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Times New Roman" w:hAnsi="Times New Roman" w:eastAsia="黑体"/>
          <w:color w:val="auto"/>
          <w:sz w:val="32"/>
          <w:szCs w:val="32"/>
          <w:highlight w:val="none"/>
          <w:lang w:eastAsia="zh-CN"/>
        </w:rPr>
      </w:pPr>
      <w:bookmarkStart w:id="30" w:name="_Toc15377206"/>
      <w:bookmarkStart w:id="31" w:name="_Toc15396604"/>
      <w:r>
        <w:rPr>
          <w:rFonts w:hint="eastAsia" w:ascii="Times New Roman" w:hAnsi="Times New Roman" w:eastAsia="黑体"/>
          <w:color w:val="auto"/>
          <w:sz w:val="32"/>
          <w:szCs w:val="32"/>
          <w:highlight w:val="none"/>
          <w:lang w:eastAsia="zh-CN"/>
        </w:rPr>
        <w:t>二、收入决算情况说明</w:t>
      </w:r>
      <w:bookmarkEnd w:id="30"/>
      <w:bookmarkEnd w:id="31"/>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2024年度本年收入合计1474.13万元，其中：一般公共预算财政拨款收入1474.13万元，占100%。</w:t>
      </w:r>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_GB2312" w:eastAsia="仿宋_GB2312" w:cs="仿宋_GB2312"/>
          <w:color w:val="auto"/>
          <w:sz w:val="32"/>
          <w:szCs w:val="32"/>
          <w:highlight w:val="none"/>
          <w:lang w:eastAsia="zh-CN"/>
        </w:rPr>
      </w:pPr>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_GB2312" w:eastAsia="仿宋_GB2312" w:cs="仿宋_GB2312"/>
          <w:color w:val="auto"/>
          <w:sz w:val="32"/>
          <w:szCs w:val="32"/>
          <w:highlight w:val="none"/>
          <w:lang w:eastAsia="zh-CN"/>
        </w:rPr>
      </w:pPr>
    </w:p>
    <w:p>
      <w:pPr>
        <w:ind w:firstLine="525" w:firstLineChars="250"/>
      </w:pPr>
      <w:r>
        <w:drawing>
          <wp:inline distT="0" distB="0" distL="114300" distR="114300">
            <wp:extent cx="4200525" cy="2543175"/>
            <wp:effectExtent l="6350" t="6350" r="22225" b="22225"/>
            <wp:docPr id="10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rPr>
          <w:rFonts w:hint="eastAsia"/>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图2：收入决算结构图）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Style w:val="21"/>
          <w:rFonts w:hint="eastAsia" w:ascii="Times New Roman" w:hAnsi="Times New Roman" w:eastAsia="黑体"/>
          <w:b w:val="0"/>
          <w:color w:val="auto"/>
          <w:highlight w:val="none"/>
        </w:rPr>
      </w:pPr>
      <w:bookmarkStart w:id="32" w:name="_Toc15396605"/>
      <w:bookmarkStart w:id="3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1"/>
          <w:rFonts w:hint="eastAsia" w:ascii="Times New Roman" w:hAnsi="Times New Roman" w:eastAsia="黑体"/>
          <w:b w:val="0"/>
          <w:color w:val="auto"/>
          <w:highlight w:val="none"/>
        </w:rPr>
        <w:t>出决算情况说明</w:t>
      </w:r>
      <w:bookmarkEnd w:id="32"/>
      <w:bookmarkEnd w:id="33"/>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2024年度本年支出合计1474.13万元，其中：基本支出1126.37万元，占76.4</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%；项目支出347.77万元，占23.59%。</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076700" cy="2314575"/>
            <wp:effectExtent l="6350" t="6350" r="12700" b="22225"/>
            <wp:docPr id="10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2080" w:firstLineChars="6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21"/>
          <w:rFonts w:ascii="Times New Roman" w:hAnsi="Times New Roman" w:eastAsia="黑体"/>
          <w:b w:val="0"/>
          <w:color w:val="auto"/>
          <w:highlight w:val="none"/>
        </w:rPr>
      </w:pPr>
      <w:bookmarkStart w:id="34" w:name="_Toc15377208"/>
      <w:bookmarkStart w:id="35" w:name="_Toc15396606"/>
      <w:r>
        <w:rPr>
          <w:rFonts w:hint="eastAsia" w:ascii="Times New Roman" w:hAnsi="Times New Roman" w:eastAsia="黑体"/>
          <w:color w:val="auto"/>
          <w:sz w:val="32"/>
          <w:szCs w:val="32"/>
          <w:highlight w:val="none"/>
        </w:rPr>
        <w:t>四、财</w:t>
      </w:r>
      <w:r>
        <w:rPr>
          <w:rStyle w:val="21"/>
          <w:rFonts w:hint="eastAsia" w:ascii="Times New Roman" w:hAnsi="Times New Roman" w:eastAsia="黑体"/>
          <w:b w:val="0"/>
          <w:color w:val="auto"/>
          <w:highlight w:val="none"/>
        </w:rPr>
        <w:t>政拨款收入支出决算总体情况说明</w:t>
      </w:r>
      <w:bookmarkEnd w:id="34"/>
      <w:bookmarkEnd w:id="3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2024年度财政拨款收入、支出总计均为1474.13万元。与2023年度相比，财政拨款收入总计、支出总计均增加138.69万元，增长10.39%。主要变动原因是2024年新增偿还往年拖欠企业账款，导致项目支出增加。</w:t>
      </w:r>
    </w:p>
    <w:p>
      <w:pPr>
        <w:spacing w:line="600" w:lineRule="exact"/>
        <w:ind w:firstLine="420" w:firstLineChars="200"/>
        <w:rPr>
          <w:rFonts w:hint="eastAsia" w:eastAsia="仿宋_GB2312" w:cs="仿宋_GB2312"/>
          <w:color w:val="auto"/>
          <w:kern w:val="2"/>
          <w:sz w:val="32"/>
          <w:szCs w:val="32"/>
          <w:highlight w:val="none"/>
          <w:lang w:val="en-US" w:eastAsia="zh-CN" w:bidi="ar-SA"/>
        </w:rPr>
      </w:pPr>
      <w:r>
        <w:drawing>
          <wp:anchor distT="0" distB="0" distL="114300" distR="114300" simplePos="0" relativeHeight="3072" behindDoc="0" locked="0" layoutInCell="1" allowOverlap="1">
            <wp:simplePos x="0" y="0"/>
            <wp:positionH relativeFrom="column">
              <wp:posOffset>320675</wp:posOffset>
            </wp:positionH>
            <wp:positionV relativeFrom="paragraph">
              <wp:posOffset>187325</wp:posOffset>
            </wp:positionV>
            <wp:extent cx="5009515" cy="2639695"/>
            <wp:effectExtent l="6350" t="6350" r="13335" b="20955"/>
            <wp:wrapSquare wrapText="bothSides"/>
            <wp:docPr id="102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21"/>
          <w:rFonts w:ascii="Times New Roman" w:hAnsi="Times New Roman" w:eastAsia="黑体"/>
          <w:b w:val="0"/>
          <w:color w:val="auto"/>
          <w:highlight w:val="none"/>
        </w:rPr>
      </w:pPr>
      <w:bookmarkStart w:id="36" w:name="_Toc15377209"/>
      <w:bookmarkStart w:id="37"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1"/>
          <w:rFonts w:hint="eastAsia" w:ascii="Times New Roman" w:hAnsi="Times New Roman" w:eastAsia="黑体"/>
          <w:b w:val="0"/>
          <w:color w:val="auto"/>
          <w:highlight w:val="none"/>
        </w:rPr>
        <w:t>般公共预算财政拨款支出决算情况说明</w:t>
      </w:r>
      <w:bookmarkEnd w:id="36"/>
      <w:bookmarkEnd w:id="37"/>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8"/>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1474.13万元，占本年支出合计的100%。与2023年度相比，一般公共预算财政拨款支出增加138.69万元，增长10.39%。主要变动原因是2024年新增偿还往年拖欠企业账款，导致项目支出增加。</w:t>
      </w:r>
    </w:p>
    <w:p>
      <w:pPr>
        <w:pStyle w:val="2"/>
        <w:rPr>
          <w:rFonts w:hint="eastAsia" w:ascii="Times New Roman" w:hAnsi="Times New Roman" w:eastAsia="仿宋_GB2312" w:cs="仿宋_GB2312"/>
          <w:color w:val="auto"/>
          <w:sz w:val="32"/>
          <w:szCs w:val="32"/>
          <w:highlight w:val="none"/>
        </w:rPr>
      </w:pPr>
    </w:p>
    <w:p>
      <w:pPr>
        <w:pStyle w:val="3"/>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4096" behindDoc="0" locked="0" layoutInCell="1" allowOverlap="1">
            <wp:simplePos x="0" y="0"/>
            <wp:positionH relativeFrom="column">
              <wp:posOffset>365125</wp:posOffset>
            </wp:positionH>
            <wp:positionV relativeFrom="paragraph">
              <wp:posOffset>-132715</wp:posOffset>
            </wp:positionV>
            <wp:extent cx="5067300" cy="2733040"/>
            <wp:effectExtent l="6350" t="6350" r="12700" b="22860"/>
            <wp:wrapSquare wrapText="bothSides"/>
            <wp:docPr id="103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pPr>
    </w:p>
    <w:p>
      <w:pPr>
        <w:pStyle w:val="2"/>
      </w:pPr>
    </w:p>
    <w:p>
      <w:pPr>
        <w:pStyle w:val="3"/>
      </w:pPr>
    </w:p>
    <w:p>
      <w:pPr>
        <w:pStyle w:val="3"/>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1"/>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（二）一般公共预算财政拨款支出决算结构情况</w:t>
      </w:r>
      <w:bookmarkEnd w:id="3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1474.13万元，主要用于以下方面：一般公共服务支出2.29万元，占0.16%；社会保障和就业支出249.03万元，占16.89%；卫生健康支出59.76万元，占4.05%；城乡社区支出1089.87万元，占73.93%；住房保障支出73.18万元，占4.96%。</w:t>
      </w: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ascii="Times New Roman" w:hAnsi="Times New Roman" w:eastAsia="仿宋_GB2312" w:cs="仿宋_GB2312"/>
          <w:color w:val="auto"/>
          <w:kern w:val="2"/>
          <w:sz w:val="32"/>
          <w:szCs w:val="32"/>
          <w:highlight w:val="none"/>
          <w:lang w:val="en-US" w:eastAsia="zh-CN" w:bidi="ar-SA"/>
        </w:rPr>
      </w:pPr>
    </w:p>
    <w:p>
      <w:pPr>
        <w:pStyle w:val="2"/>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5120" behindDoc="0" locked="0" layoutInCell="1" allowOverlap="1">
            <wp:simplePos x="0" y="0"/>
            <wp:positionH relativeFrom="column">
              <wp:posOffset>107950</wp:posOffset>
            </wp:positionH>
            <wp:positionV relativeFrom="paragraph">
              <wp:posOffset>280670</wp:posOffset>
            </wp:positionV>
            <wp:extent cx="4610735" cy="2590800"/>
            <wp:effectExtent l="6350" t="6350" r="12065" b="12700"/>
            <wp:wrapSquare wrapText="bothSides"/>
            <wp:docPr id="102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4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1" w:name="_Toc15377213"/>
      <w:bookmarkStart w:id="42" w:name="_Toc15378460"/>
      <w:bookmarkStart w:id="43"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eastAsia="仿宋_GB2312" w:cs="仿宋_GB2312"/>
          <w:sz w:val="32"/>
          <w:szCs w:val="32"/>
        </w:rPr>
        <w:t>1474.13</w:t>
      </w:r>
      <w:r>
        <w:rPr>
          <w:rFonts w:hint="eastAsia" w:asci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41"/>
      <w:bookmarkEnd w:id="42"/>
      <w:bookmarkEnd w:id="43"/>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bookmarkStart w:id="44" w:name="_Toc15377214"/>
      <w:bookmarkStart w:id="45" w:name="_Toc15396608"/>
      <w:r>
        <w:rPr>
          <w:rFonts w:hint="eastAsia" w:ascii="Times New Roman" w:hAnsi="Times New Roman" w:eastAsia="仿宋_GB2312" w:cs="仿宋_GB2312"/>
          <w:color w:val="auto"/>
          <w:kern w:val="2"/>
          <w:sz w:val="32"/>
          <w:szCs w:val="32"/>
          <w:highlight w:val="none"/>
          <w:lang w:val="en-US" w:eastAsia="zh-CN" w:bidi="ar-SA"/>
        </w:rPr>
        <w:t>1.一般公共服务（类）组织事务（款）其他组织事务（项）: 支出决算为</w:t>
      </w:r>
      <w:r>
        <w:rPr>
          <w:rFonts w:hint="eastAsia" w:eastAsia="仿宋_GB2312" w:cs="仿宋_GB2312"/>
          <w:color w:val="auto"/>
          <w:kern w:val="2"/>
          <w:sz w:val="32"/>
          <w:szCs w:val="32"/>
          <w:highlight w:val="none"/>
          <w:lang w:val="en-US" w:eastAsia="zh-CN" w:bidi="ar-SA"/>
        </w:rPr>
        <w:t>2.29</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2.社会保障和就业（类）人力资源和社会保障管理事务（款）其他人力资源和社会保障管理事务支出（项）:支出决算为</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社会保障和就业（类）行政事业单位养老（款）行政单位离退休（项）:支出决算为</w:t>
      </w:r>
      <w:r>
        <w:rPr>
          <w:rFonts w:hint="eastAsia" w:eastAsia="仿宋_GB2312" w:cs="仿宋_GB2312"/>
          <w:color w:val="auto"/>
          <w:kern w:val="2"/>
          <w:sz w:val="32"/>
          <w:szCs w:val="32"/>
          <w:highlight w:val="none"/>
          <w:lang w:val="en-US" w:eastAsia="zh-CN" w:bidi="ar-SA"/>
        </w:rPr>
        <w:t>143.28</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.社会保障和就业（类）行政事业单位养老（款）机关事业单位基本养老保险缴费（项）:支出决算为</w:t>
      </w:r>
      <w:r>
        <w:rPr>
          <w:rFonts w:hint="eastAsia" w:eastAsia="仿宋_GB2312" w:cs="仿宋_GB2312"/>
          <w:color w:val="auto"/>
          <w:kern w:val="2"/>
          <w:sz w:val="32"/>
          <w:szCs w:val="32"/>
          <w:highlight w:val="none"/>
          <w:lang w:val="en-US" w:eastAsia="zh-CN" w:bidi="ar-SA"/>
        </w:rPr>
        <w:t>89.03</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.社会保障和就业（类）行政事业单位养老（款）机关事业单位职业年金缴费（项）:支出决算为</w:t>
      </w:r>
      <w:r>
        <w:rPr>
          <w:rFonts w:hint="eastAsia" w:eastAsia="仿宋_GB2312" w:cs="仿宋_GB2312"/>
          <w:color w:val="auto"/>
          <w:kern w:val="2"/>
          <w:sz w:val="32"/>
          <w:szCs w:val="32"/>
          <w:highlight w:val="none"/>
          <w:lang w:val="en-US" w:eastAsia="zh-CN" w:bidi="ar-SA"/>
        </w:rPr>
        <w:t>12.11</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社会保障和就业（类）社会福利（款）儿童福利（项）:支出决算为0.</w:t>
      </w:r>
      <w:r>
        <w:rPr>
          <w:rFonts w:hint="eastAsia" w:eastAsia="仿宋_GB2312" w:cs="仿宋_GB2312"/>
          <w:color w:val="auto"/>
          <w:kern w:val="2"/>
          <w:sz w:val="32"/>
          <w:szCs w:val="32"/>
          <w:highlight w:val="none"/>
          <w:lang w:val="en-US" w:eastAsia="zh-CN" w:bidi="ar-SA"/>
        </w:rPr>
        <w:t>63</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.卫生健康（类）行政事业单位医疗（款）行政单位医疗（项）:支出决算为</w:t>
      </w:r>
      <w:r>
        <w:rPr>
          <w:rFonts w:hint="eastAsia" w:eastAsia="仿宋_GB2312" w:cs="仿宋_GB2312"/>
          <w:color w:val="auto"/>
          <w:kern w:val="2"/>
          <w:sz w:val="32"/>
          <w:szCs w:val="32"/>
          <w:highlight w:val="none"/>
          <w:lang w:val="en-US" w:eastAsia="zh-CN" w:bidi="ar-SA"/>
        </w:rPr>
        <w:t>47.79</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.卫生健康（类）行政事业单位医疗（款）公务员医疗补助（项）:支出决算为5.0</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.卫生健康（类）行政事业单位医疗（款）其他行政事业单位医疗（项）:支出决算为</w:t>
      </w:r>
      <w:r>
        <w:rPr>
          <w:rFonts w:hint="eastAsia" w:eastAsia="仿宋_GB2312" w:cs="仿宋_GB2312"/>
          <w:color w:val="auto"/>
          <w:kern w:val="2"/>
          <w:sz w:val="32"/>
          <w:szCs w:val="32"/>
          <w:highlight w:val="none"/>
          <w:lang w:val="en-US" w:eastAsia="zh-CN" w:bidi="ar-SA"/>
        </w:rPr>
        <w:t>6.43</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.卫生健康（类）其他卫生健康（款）其他卫生健康（项）:支出决算为</w:t>
      </w:r>
      <w:r>
        <w:rPr>
          <w:rFonts w:hint="eastAsia" w:eastAsia="仿宋_GB2312" w:cs="仿宋_GB2312"/>
          <w:color w:val="auto"/>
          <w:kern w:val="2"/>
          <w:sz w:val="32"/>
          <w:szCs w:val="32"/>
          <w:highlight w:val="none"/>
          <w:lang w:val="en-US" w:eastAsia="zh-CN" w:bidi="ar-SA"/>
        </w:rPr>
        <w:t>0.46</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.城乡社区（类）城乡社区管理事务（款）行政运行（项）:支出决算为7</w:t>
      </w:r>
      <w:r>
        <w:rPr>
          <w:rFonts w:hint="eastAsia" w:eastAsia="仿宋_GB2312" w:cs="仿宋_GB2312"/>
          <w:color w:val="auto"/>
          <w:kern w:val="2"/>
          <w:sz w:val="32"/>
          <w:szCs w:val="32"/>
          <w:highlight w:val="none"/>
          <w:lang w:val="en-US" w:eastAsia="zh-CN" w:bidi="ar-SA"/>
        </w:rPr>
        <w:t>42.72</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.城乡社区（类）城乡社区管理事务（款）一般行政管理事务（项）:支出决算为</w:t>
      </w:r>
      <w:r>
        <w:rPr>
          <w:rFonts w:hint="eastAsia" w:eastAsia="仿宋_GB2312" w:cs="仿宋_GB2312"/>
          <w:color w:val="auto"/>
          <w:kern w:val="2"/>
          <w:sz w:val="32"/>
          <w:szCs w:val="32"/>
          <w:highlight w:val="none"/>
          <w:lang w:val="en-US" w:eastAsia="zh-CN" w:bidi="ar-SA"/>
        </w:rPr>
        <w:t>71.21</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.城乡社区（类）城乡社区管理事务（款）其他城乡社区管理事务（项）:支出决算为</w:t>
      </w:r>
      <w:r>
        <w:rPr>
          <w:rFonts w:hint="eastAsia" w:eastAsia="仿宋_GB2312" w:cs="仿宋_GB2312"/>
          <w:color w:val="auto"/>
          <w:kern w:val="2"/>
          <w:sz w:val="32"/>
          <w:szCs w:val="32"/>
          <w:highlight w:val="none"/>
          <w:lang w:val="en-US" w:eastAsia="zh-CN" w:bidi="ar-SA"/>
        </w:rPr>
        <w:t>51.93</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.城乡社区（类）城乡社区环境卫生（款）城乡社区环境卫生（项）:支出决算为</w:t>
      </w:r>
      <w:r>
        <w:rPr>
          <w:rFonts w:hint="eastAsia" w:eastAsia="仿宋_GB2312" w:cs="仿宋_GB2312"/>
          <w:color w:val="auto"/>
          <w:kern w:val="2"/>
          <w:sz w:val="32"/>
          <w:szCs w:val="32"/>
          <w:highlight w:val="none"/>
          <w:lang w:val="en-US" w:eastAsia="zh-CN" w:bidi="ar-SA"/>
        </w:rPr>
        <w:t>224.01</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tabs>
          <w:tab w:val="right" w:pos="8306"/>
        </w:tabs>
        <w:spacing w:line="600" w:lineRule="exact"/>
        <w:ind w:firstLine="640"/>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.住房保障（类）住房改革（款）住房公积金（项）:支出决算为</w:t>
      </w:r>
      <w:r>
        <w:rPr>
          <w:rFonts w:hint="eastAsia" w:eastAsia="仿宋_GB2312" w:cs="仿宋_GB2312"/>
          <w:color w:val="auto"/>
          <w:kern w:val="2"/>
          <w:sz w:val="32"/>
          <w:szCs w:val="32"/>
          <w:highlight w:val="none"/>
          <w:lang w:val="en-US" w:eastAsia="zh-CN" w:bidi="ar-SA"/>
        </w:rPr>
        <w:t>73.18</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r>
        <w:rPr>
          <w:rFonts w:hint="eastAsia" w:eastAsia="仿宋_GB2312" w:cs="仿宋_GB2312"/>
          <w:color w:val="auto"/>
          <w:kern w:val="2"/>
          <w:sz w:val="32"/>
          <w:szCs w:val="32"/>
          <w:highlight w:val="none"/>
          <w:lang w:val="en-US" w:eastAsia="zh-CN" w:bidi="ar-SA"/>
        </w:rPr>
        <w:t xml:space="preserve"> </w:t>
      </w:r>
    </w:p>
    <w:p>
      <w:pPr>
        <w:tabs>
          <w:tab w:val="right" w:pos="8306"/>
        </w:tabs>
        <w:spacing w:line="600" w:lineRule="exact"/>
        <w:ind w:firstLine="640"/>
        <w:outlineLvl w:val="1"/>
        <w:rPr>
          <w:rFonts w:hint="eastAsia" w:ascii="Times New Roman" w:hAnsi="Times New Roman" w:eastAsia="黑体"/>
          <w:color w:val="auto"/>
          <w:sz w:val="32"/>
          <w:szCs w:val="32"/>
          <w:highlight w:val="none"/>
        </w:rPr>
      </w:pPr>
    </w:p>
    <w:p>
      <w:pPr>
        <w:tabs>
          <w:tab w:val="right" w:pos="8306"/>
        </w:tabs>
        <w:spacing w:line="600" w:lineRule="exact"/>
        <w:ind w:firstLine="640"/>
        <w:outlineLvl w:val="1"/>
        <w:rPr>
          <w:rStyle w:val="21"/>
          <w:rFonts w:ascii="Times New Roman" w:hAnsi="Times New Roman"/>
          <w:color w:val="auto"/>
          <w:highlight w:val="none"/>
        </w:rPr>
      </w:pPr>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1"/>
          <w:rFonts w:hint="eastAsia" w:ascii="Times New Roman" w:hAnsi="Times New Roman" w:eastAsia="黑体"/>
          <w:b w:val="0"/>
          <w:color w:val="auto"/>
          <w:highlight w:val="none"/>
        </w:rPr>
        <w:t>般公共预算财政拨款基本支出决算情况说明</w:t>
      </w:r>
      <w:bookmarkEnd w:id="44"/>
      <w:bookmarkEnd w:id="45"/>
      <w:r>
        <w:rPr>
          <w:rStyle w:val="21"/>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2024年度一般公共预算财政拨款基本支出1126.37万元，其中：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1006.97万元，主要包括：基本工资、津贴补贴、奖金、机关事业单位基本养老保险缴费、职业年金缴费、职工基本医疗保险缴费、公务员医疗补助缴费、其他社会保障缴费、住房公积金、对个人和家庭的补助、生活补助、医疗费补助、奖励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119.4万元，主要包括：办公费、水费、电费、邮电费、物业管理费、差旅费、维修（护）费、会议费、培训费、公务接待费、劳务费、工会经费、福利费、公务用车运行维护费、其他交通费、其他商品和服务支出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outlineLvl w:val="1"/>
        <w:rPr>
          <w:rStyle w:val="21"/>
          <w:rFonts w:ascii="Times New Roman" w:hAnsi="Times New Roman" w:eastAsia="黑体"/>
          <w:b w:val="0"/>
          <w:color w:val="auto"/>
          <w:highlight w:val="none"/>
        </w:rPr>
      </w:pPr>
      <w:bookmarkStart w:id="46" w:name="_Toc15377215"/>
      <w:bookmarkStart w:id="47" w:name="_Toc15396609"/>
      <w:r>
        <w:rPr>
          <w:rFonts w:hint="eastAsia" w:ascii="Times New Roman" w:hAnsi="Times New Roman" w:eastAsia="黑体"/>
          <w:color w:val="auto"/>
          <w:sz w:val="32"/>
          <w:szCs w:val="32"/>
          <w:highlight w:val="none"/>
        </w:rPr>
        <w:t>七、</w:t>
      </w:r>
      <w:r>
        <w:rPr>
          <w:rStyle w:val="21"/>
          <w:rFonts w:hint="eastAsia" w:ascii="Times New Roman" w:hAnsi="Times New Roman" w:eastAsia="黑体"/>
          <w:b w:val="0"/>
          <w:color w:val="auto"/>
          <w:highlight w:val="none"/>
        </w:rPr>
        <w:t>财政拨款</w:t>
      </w:r>
      <w:r>
        <w:rPr>
          <w:rStyle w:val="21"/>
          <w:rFonts w:hint="eastAsia" w:ascii="Times New Roman" w:hAnsi="Times New Roman" w:eastAsia="黑体"/>
          <w:color w:val="auto"/>
          <w:highlight w:val="none"/>
        </w:rPr>
        <w:t>“</w:t>
      </w:r>
      <w:r>
        <w:rPr>
          <w:rStyle w:val="21"/>
          <w:rFonts w:hint="eastAsia" w:ascii="Times New Roman" w:hAnsi="Times New Roman" w:eastAsia="黑体"/>
          <w:b w:val="0"/>
          <w:color w:val="auto"/>
          <w:highlight w:val="none"/>
        </w:rPr>
        <w:t>三公”经费支出决算情况说明</w:t>
      </w:r>
      <w:bookmarkEnd w:id="46"/>
      <w:bookmarkEnd w:id="47"/>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8"/>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2024年度“三公”经费财政拨款支出决算为7.01万元，完成预算100%，较上年度减少0.16万元，下降2.</w:t>
      </w:r>
      <w:r>
        <w:rPr>
          <w:rFonts w:hint="eastAsia" w:eastAsia="仿宋_GB2312" w:cs="仿宋_GB2312"/>
          <w:color w:val="auto"/>
          <w:kern w:val="2"/>
          <w:sz w:val="32"/>
          <w:szCs w:val="32"/>
          <w:highlight w:val="none"/>
          <w:lang w:val="en-US" w:eastAsia="zh-CN" w:bidi="ar-SA"/>
        </w:rPr>
        <w:t>34</w:t>
      </w:r>
      <w:r>
        <w:rPr>
          <w:rFonts w:hint="eastAsia" w:ascii="Times New Roman" w:hAnsi="Times New Roman" w:eastAsia="仿宋_GB2312" w:cs="仿宋_GB2312"/>
          <w:color w:val="auto"/>
          <w:kern w:val="2"/>
          <w:sz w:val="32"/>
          <w:szCs w:val="32"/>
          <w:highlight w:val="none"/>
          <w:lang w:val="en-US" w:eastAsia="zh-CN" w:bidi="ar-SA"/>
        </w:rPr>
        <w:t>%。决算数与预算数持平。</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2024年度“三公”经费财政拨款支出决算中，因公出国（境）费支出决算0万元，占0%；公务用车购置及运行维护费支出决算5.78万元，占82.45%；公务接待费支出决算1.23万元，占17.55%。具体情况如下：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6144" behindDoc="0" locked="0" layoutInCell="1" allowOverlap="1">
            <wp:simplePos x="0" y="0"/>
            <wp:positionH relativeFrom="column">
              <wp:posOffset>422275</wp:posOffset>
            </wp:positionH>
            <wp:positionV relativeFrom="paragraph">
              <wp:posOffset>330200</wp:posOffset>
            </wp:positionV>
            <wp:extent cx="4286885" cy="2190750"/>
            <wp:effectExtent l="6350" t="6350" r="12065" b="12700"/>
            <wp:wrapSquare wrapText="bothSides"/>
            <wp:docPr id="102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    </w:t>
      </w:r>
    </w:p>
    <w:p>
      <w:pPr>
        <w:spacing w:line="600" w:lineRule="exact"/>
        <w:rPr>
          <w:rFonts w:hint="eastAsia" w:eastAsia="仿宋_GB2312" w:cs="仿宋_GB2312"/>
          <w:color w:val="auto"/>
          <w:kern w:val="2"/>
          <w:sz w:val="32"/>
          <w:szCs w:val="32"/>
          <w:highlight w:val="none"/>
          <w:lang w:val="en-US" w:eastAsia="zh-CN" w:bidi="ar-SA"/>
        </w:rPr>
      </w:pPr>
    </w:p>
    <w:p>
      <w:pPr>
        <w:spacing w:line="600" w:lineRule="exact"/>
        <w:rPr>
          <w:rFonts w:hint="eastAsia" w:eastAsia="仿宋_GB2312" w:cs="仿宋_GB2312"/>
          <w:color w:val="auto"/>
          <w:kern w:val="2"/>
          <w:sz w:val="32"/>
          <w:szCs w:val="32"/>
          <w:highlight w:val="none"/>
          <w:lang w:val="en-US" w:eastAsia="zh-CN" w:bidi="ar-SA"/>
        </w:rPr>
      </w:pPr>
    </w:p>
    <w:p>
      <w:pPr>
        <w:spacing w:line="600" w:lineRule="exact"/>
        <w:rPr>
          <w:rFonts w:hint="eastAsia" w:eastAsia="仿宋_GB2312" w:cs="仿宋_GB2312"/>
          <w:color w:val="auto"/>
          <w:kern w:val="2"/>
          <w:sz w:val="32"/>
          <w:szCs w:val="32"/>
          <w:highlight w:val="none"/>
          <w:lang w:val="en-US" w:eastAsia="zh-CN" w:bidi="ar-SA"/>
        </w:rPr>
      </w:pPr>
    </w:p>
    <w:p>
      <w:pPr>
        <w:spacing w:line="600" w:lineRule="exact"/>
        <w:rPr>
          <w:rFonts w:hint="eastAsia" w:eastAsia="仿宋_GB2312" w:cs="仿宋_GB2312"/>
          <w:color w:val="auto"/>
          <w:kern w:val="2"/>
          <w:sz w:val="32"/>
          <w:szCs w:val="32"/>
          <w:highlight w:val="none"/>
          <w:lang w:val="en-US" w:eastAsia="zh-CN" w:bidi="ar-SA"/>
        </w:rPr>
      </w:pPr>
    </w:p>
    <w:p>
      <w:pPr>
        <w:spacing w:line="600" w:lineRule="exact"/>
        <w:rPr>
          <w:rFonts w:hint="eastAsia" w:eastAsia="仿宋_GB2312" w:cs="仿宋_GB2312"/>
          <w:color w:val="auto"/>
          <w:kern w:val="2"/>
          <w:sz w:val="32"/>
          <w:szCs w:val="32"/>
          <w:highlight w:val="none"/>
          <w:lang w:val="en-US" w:eastAsia="zh-CN" w:bidi="ar-SA"/>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eastAsia="仿宋_GB2312" w:cs="仿宋_GB2312"/>
          <w:color w:val="auto"/>
          <w:kern w:val="2"/>
          <w:sz w:val="32"/>
          <w:szCs w:val="32"/>
          <w:highlight w:val="none"/>
          <w:lang w:val="en-US" w:eastAsia="zh-CN" w:bidi="ar-SA"/>
        </w:rPr>
        <w:t>组</w:t>
      </w:r>
      <w:r>
        <w:rPr>
          <w:rFonts w:hint="eastAsia" w:asci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eastAsia="仿宋_GB2312" w:cs="仿宋_GB2312"/>
          <w:sz w:val="32"/>
          <w:szCs w:val="32"/>
        </w:rPr>
        <w:t>0</w:t>
      </w:r>
      <w:r>
        <w:rPr>
          <w:rFonts w:hint="eastAsia" w:asci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年度持平。</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2.公务用车购置及运行维护费支出5.78万元，完成预算100%。</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0.16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2.69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严格落实过紧日子要求，严控“三公”经费支出，缩减公务用车运行费用。</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eastAsia="仿宋_GB2312" w:cs="仿宋_GB2312"/>
          <w:color w:val="auto"/>
          <w:kern w:val="2"/>
          <w:sz w:val="32"/>
          <w:szCs w:val="32"/>
          <w:highlight w:val="none"/>
          <w:lang w:val="en-US" w:eastAsia="zh-CN" w:bidi="ar-SA"/>
        </w:rPr>
        <w:t>出</w:t>
      </w:r>
      <w:r>
        <w:rPr>
          <w:rFonts w:hint="eastAsia" w:asci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0辆</w:t>
      </w:r>
      <w:r>
        <w:rPr>
          <w:rFonts w:hint="eastAsia" w:ascii="Times New Roman" w:hAnsi="Times New Roman" w:eastAsia="仿宋_GB2312" w:cs="仿宋_GB2312"/>
          <w:color w:val="auto"/>
          <w:kern w:val="2"/>
          <w:sz w:val="32"/>
          <w:szCs w:val="32"/>
          <w:highlight w:val="none"/>
          <w:lang w:val="en-US" w:eastAsia="zh-CN" w:bidi="ar-SA"/>
        </w:rPr>
        <w:t>、越野车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载货</w:t>
      </w:r>
      <w:r>
        <w:rPr>
          <w:rFonts w:hint="eastAsia" w:ascii="Times New Roman" w:hAnsi="Times New Roman" w:eastAsia="仿宋_GB2312" w:cs="仿宋_GB2312"/>
          <w:color w:val="auto"/>
          <w:kern w:val="2"/>
          <w:sz w:val="32"/>
          <w:szCs w:val="32"/>
          <w:highlight w:val="none"/>
          <w:lang w:val="en-US" w:eastAsia="zh-CN" w:bidi="ar-SA"/>
        </w:rPr>
        <w:t>汽车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、小型客车1</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公务用车运行维护费支出5.78万元。主要用于市容环卫、园林绿化、城管执法、燃气安全所需的公务用车燃料费、维修费、过路过桥费、保险费等支出。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3.公务接待费支出1.23万元，完成预算100%。</w:t>
      </w:r>
      <w:r>
        <w:rPr>
          <w:rFonts w:hint="eastAsia" w:ascii="Times New Roman" w:hAnsi="Times New Roman" w:eastAsia="仿宋_GB2312" w:cs="仿宋_GB2312"/>
          <w:color w:val="auto"/>
          <w:kern w:val="2"/>
          <w:sz w:val="32"/>
          <w:szCs w:val="32"/>
          <w:highlight w:val="none"/>
          <w:lang w:val="en-US" w:eastAsia="zh-CN" w:bidi="ar-SA"/>
        </w:rPr>
        <w:t>公务接待费支出决算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2023年度</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。其中：</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出1.23万元，主要用于燃气安全及行政执法、垃圾分类督导检查等方面的用餐费。国内公务接待11批次，63人次（不包括陪同人员），共计支出1.23万元，具体包括：1.接待省安全生产综合检查组莅攀督导7人工作餐支出0.17万元；2.接待省城镇燃气安全专项整治督导小组莅攀检查“瓶改管”“瓶改电”工作4人工作餐支出0.10万元；</w:t>
      </w:r>
      <w:r>
        <w:rPr>
          <w:rFonts w:hint="eastAsia" w:eastAsia="仿宋_GB2312" w:cs="仿宋_GB2312"/>
          <w:color w:val="auto"/>
          <w:kern w:val="2"/>
          <w:sz w:val="32"/>
          <w:szCs w:val="32"/>
          <w:highlight w:val="none"/>
          <w:lang w:val="en-US" w:eastAsia="zh-CN" w:bidi="ar-SA"/>
        </w:rPr>
        <w:t>3.接待海口市考察组赴攀学习考察城市园林绿化花化城管经验7人工作餐支出0.17万元；4.接待省生活垃圾分类第二工作组赴攀开展2024年第一季度生活垃圾分类工作调研7人工作餐支出0.13万元；5.接待省生活垃圾分类第四工作组赴攀开展建筑垃圾交叉检查3人工作餐支出0.06万元；6.接待省生活垃圾分类第二工作组赴攀开展2024年第二季度生活垃圾分类工作调研7人工作餐支出0.13万元；7.接待省城镇燃气安全专项整治第六督导组赴攀督导城镇燃气安全专项整治4人工作餐支出0.11万元；8.接待省生活垃圾分类第二工作组赴攀开展2024年第三季度生活垃圾分类工作调研8人工作餐支出0.11万元；9.接待省住建厅赴攀开展《四川省住房和城乡建设行政处罚裁量权适用规定》执行情况调研5人工作餐支出0.09万元；10.接待省住建厅综合执法监督局赴攀开展住房城乡建设重要领域安全执法调研指导4人工作餐支出0.06万元；11.接待深圳市城市管理和综合执法局赴攀开展省生活垃圾分类工作“1对1”交叉协作工作7人工作餐支出0.10万元</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外事接待支出0万元。外事接待0批次，0人次，共计支出0万元。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50" w:name="_Toc15377218"/>
      <w:bookmarkStart w:id="51" w:name="_Toc15396610"/>
    </w:p>
    <w:p>
      <w:pPr>
        <w:spacing w:line="600" w:lineRule="exact"/>
        <w:ind w:firstLine="640"/>
        <w:outlineLvl w:val="1"/>
        <w:rPr>
          <w:rStyle w:val="21"/>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1"/>
          <w:rFonts w:hint="eastAsia" w:ascii="Times New Roman" w:hAnsi="Times New Roman" w:eastAsia="黑体"/>
          <w:b w:val="0"/>
          <w:color w:val="auto"/>
          <w:highlight w:val="none"/>
        </w:rPr>
        <w:t>政府性基金预算支出决算情况说明</w:t>
      </w:r>
      <w:bookmarkEnd w:id="50"/>
      <w:bookmarkEnd w:id="51"/>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2024年度政府性基金预算财政拨款支出0万元，占本年支出合计的0%。</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left="630"/>
        <w:outlineLvl w:val="1"/>
        <w:rPr>
          <w:rStyle w:val="21"/>
          <w:rFonts w:ascii="Times New Roman" w:hAnsi="Times New Roman" w:eastAsia="黑体"/>
          <w:b w:val="0"/>
          <w:color w:val="auto"/>
          <w:highlight w:val="none"/>
        </w:rPr>
      </w:pPr>
      <w:bookmarkStart w:id="52" w:name="_Toc15377219"/>
      <w:bookmarkStart w:id="53" w:name="_Toc15396611"/>
      <w:r>
        <w:rPr>
          <w:rStyle w:val="21"/>
          <w:rFonts w:hint="eastAsia" w:ascii="Times New Roman" w:hAnsi="Times New Roman" w:eastAsia="黑体"/>
          <w:b w:val="0"/>
          <w:color w:val="auto"/>
          <w:highlight w:val="none"/>
          <w:lang w:eastAsia="zh-CN"/>
        </w:rPr>
        <w:t>九、</w:t>
      </w:r>
      <w:r>
        <w:rPr>
          <w:rStyle w:val="21"/>
          <w:rFonts w:hint="eastAsia" w:ascii="Times New Roman" w:hAnsi="Times New Roman" w:eastAsia="黑体"/>
          <w:b w:val="0"/>
          <w:color w:val="auto"/>
          <w:highlight w:val="none"/>
        </w:rPr>
        <w:t>国有资本经营预算支出决算情况说明</w:t>
      </w:r>
      <w:bookmarkEnd w:id="52"/>
      <w:bookmarkEnd w:id="53"/>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2024年度国有资本经营预算财政拨款支出0万元，占本年支出合计的0%。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eastAsia="仿宋_GB2312" w:cs="仿宋_GB2312"/>
          <w:color w:val="auto"/>
          <w:kern w:val="2"/>
          <w:sz w:val="32"/>
          <w:szCs w:val="32"/>
          <w:highlight w:val="none"/>
          <w:lang w:val="en-US" w:eastAsia="zh-CN" w:bidi="ar-SA"/>
        </w:rPr>
      </w:pPr>
    </w:p>
    <w:p>
      <w:pPr>
        <w:spacing w:line="600" w:lineRule="exact"/>
        <w:ind w:left="630"/>
        <w:outlineLvl w:val="1"/>
        <w:rPr>
          <w:rStyle w:val="21"/>
          <w:rFonts w:hint="eastAsia" w:ascii="Times New Roman" w:hAnsi="Times New Roman" w:eastAsia="黑体"/>
          <w:b w:val="0"/>
          <w:color w:val="auto"/>
          <w:highlight w:val="none"/>
        </w:rPr>
      </w:pPr>
      <w:bookmarkStart w:id="54" w:name="_Toc15377221"/>
      <w:bookmarkStart w:id="55" w:name="_Toc15396612"/>
      <w:r>
        <w:rPr>
          <w:rStyle w:val="21"/>
          <w:rFonts w:hint="eastAsia" w:ascii="Times New Roman" w:hAnsi="Times New Roman" w:eastAsia="黑体"/>
          <w:b w:val="0"/>
          <w:color w:val="auto"/>
          <w:highlight w:val="none"/>
          <w:lang w:eastAsia="zh-CN"/>
        </w:rPr>
        <w:t>十、</w:t>
      </w:r>
      <w:r>
        <w:rPr>
          <w:rStyle w:val="21"/>
          <w:rFonts w:hint="eastAsia" w:ascii="Times New Roman" w:hAnsi="Times New Roman" w:eastAsia="黑体"/>
          <w:b w:val="0"/>
          <w:color w:val="auto"/>
          <w:highlight w:val="none"/>
        </w:rPr>
        <w:t>其他重要事项的情况说明</w:t>
      </w:r>
      <w:bookmarkEnd w:id="54"/>
      <w:bookmarkEnd w:id="55"/>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6" w:name="_Toc15377222"/>
      <w:r>
        <w:rPr>
          <w:rFonts w:hint="eastAsia" w:ascii="Times New Roman" w:hAnsi="Times New Roman" w:eastAsia="楷体_GB2312" w:cs="楷体_GB2312"/>
          <w:b/>
          <w:color w:val="auto"/>
          <w:sz w:val="32"/>
          <w:szCs w:val="32"/>
          <w:highlight w:val="none"/>
        </w:rPr>
        <w:t>（一）机关运行经费支出情况</w:t>
      </w:r>
      <w:bookmarkEnd w:id="56"/>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2024年度，四川省攀枝花市城市管理行政执法局机关运行经费支出119.4万元，比2023年度增加2.69万元，增长2.30%。主要原因是2024年机关人员增加。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7" w:name="_Toc15377223"/>
      <w:r>
        <w:rPr>
          <w:rFonts w:hint="eastAsia" w:ascii="Times New Roman" w:hAnsi="Times New Roman" w:eastAsia="楷体_GB2312" w:cs="楷体_GB2312"/>
          <w:b/>
          <w:color w:val="auto"/>
          <w:sz w:val="32"/>
          <w:szCs w:val="32"/>
          <w:highlight w:val="none"/>
        </w:rPr>
        <w:t>（二）政府采购支出情况</w:t>
      </w:r>
      <w:bookmarkEnd w:id="57"/>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四川省攀枝花市城市管理行政执法局（本级）政府采购支出总额148.5万元，其中：政府采购货物支出0万元、政府采购工程支出0万元、政府采购服务支出148.5万元。主要用于道路绿化管护、攀枝花公园和竹湖园清扫保洁。授予中小企业合同金额148.5万元，占政府采购支出总额的100%，其中：授予小微企业合同金额147万元，占政府采购支出总额的98.98%。</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8" w:name="_Toc15377224"/>
      <w:r>
        <w:rPr>
          <w:rFonts w:hint="eastAsia" w:ascii="Times New Roman" w:hAnsi="Times New Roman" w:eastAsia="楷体_GB2312" w:cs="楷体_GB2312"/>
          <w:b/>
          <w:color w:val="auto"/>
          <w:sz w:val="32"/>
          <w:szCs w:val="32"/>
          <w:highlight w:val="none"/>
        </w:rPr>
        <w:t>（三）国有资产占有使用情况</w:t>
      </w:r>
      <w:bookmarkEnd w:id="58"/>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截至2024年12月31日，四川省攀枝花市城市管理行政执法局（本级）共有车辆3辆，其中：主要负责人用车0辆、机要通信用车1辆、特种专业技术用车2辆、其他用车0辆。单价100万元（含）以上设备（不含车辆）0台（套）。</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根据预算绩效管理要求，攀枝花市城市管理行政执法局在2024年度预算编制阶段，组织对金沙江大道东段等12条主干道绿化养护等3个项目开展了预算事前绩效评估，对12个项目编制了绩效目标，预算执行过程中，选取12个项目开展绩效监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组织对2024年度一般公共预算开展绩效自评，形成</w:t>
      </w:r>
      <w:r>
        <w:rPr>
          <w:rFonts w:hint="eastAsia" w:eastAsia="仿宋_GB2312" w:cs="仿宋_GB2312"/>
          <w:color w:val="auto"/>
          <w:kern w:val="2"/>
          <w:sz w:val="32"/>
          <w:szCs w:val="32"/>
          <w:highlight w:val="none"/>
          <w:lang w:val="en-US" w:eastAsia="zh-CN" w:bidi="ar-SA"/>
        </w:rPr>
        <w:t>攀枝花市城市管理行政执法局</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部门整体（含部门预算项目）绩效自评报告，其中，</w:t>
      </w:r>
      <w:r>
        <w:rPr>
          <w:rFonts w:hint="eastAsia" w:eastAsia="仿宋_GB2312" w:cs="仿宋_GB2312"/>
          <w:color w:val="auto"/>
          <w:kern w:val="2"/>
          <w:sz w:val="32"/>
          <w:szCs w:val="32"/>
          <w:highlight w:val="none"/>
          <w:lang w:val="en-US" w:eastAsia="zh-CN" w:bidi="ar-SA"/>
        </w:rPr>
        <w:t>攀枝花市城市管理行政执法局</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95.73</w:t>
      </w:r>
      <w:r>
        <w:rPr>
          <w:rFonts w:hint="eastAsia" w:ascii="Times New Roman" w:hAnsi="Times New Roman" w:eastAsia="仿宋_GB2312" w:cs="仿宋_GB2312"/>
          <w:color w:val="auto"/>
          <w:kern w:val="2"/>
          <w:sz w:val="32"/>
          <w:szCs w:val="32"/>
          <w:highlight w:val="none"/>
          <w:lang w:val="en-US" w:eastAsia="zh-CN" w:bidi="ar-SA"/>
        </w:rPr>
        <w:t>分，绩效自评综述我单位绩效目标编制要素完整、绩效指标做到了细化、量化，单个数量指标实际完成达到预期指标基本完成了既定的绩效目标，较全面的实现了预算和绩效管理一体化，整体支出管理水平得到提升。</w:t>
      </w:r>
    </w:p>
    <w:p>
      <w:pPr>
        <w:spacing w:line="600" w:lineRule="exact"/>
        <w:jc w:val="center"/>
        <w:outlineLvl w:val="0"/>
        <w:rPr>
          <w:rFonts w:hint="eastAsia" w:ascii="Times New Roman" w:hAnsi="Times New Roman" w:eastAsia="黑体"/>
          <w:color w:val="auto"/>
          <w:sz w:val="44"/>
          <w:szCs w:val="44"/>
          <w:highlight w:val="none"/>
        </w:rPr>
      </w:pPr>
      <w:bookmarkStart w:id="59" w:name="_Toc15396613"/>
      <w:bookmarkStart w:id="60" w:name="_Toc15377225"/>
    </w:p>
    <w:p>
      <w:pPr>
        <w:spacing w:line="600" w:lineRule="exact"/>
        <w:jc w:val="center"/>
        <w:outlineLvl w:val="0"/>
        <w:rPr>
          <w:rFonts w:hint="eastAsia" w:ascii="Times New Roman" w:hAnsi="Times New Roman" w:eastAsia="黑体"/>
          <w:color w:val="auto"/>
          <w:sz w:val="44"/>
          <w:szCs w:val="44"/>
          <w:highlight w:val="none"/>
        </w:rPr>
      </w:pPr>
    </w:p>
    <w:p>
      <w:pPr>
        <w:spacing w:line="600" w:lineRule="exact"/>
        <w:jc w:val="center"/>
        <w:outlineLvl w:val="0"/>
        <w:rPr>
          <w:rFonts w:hint="eastAsia" w:ascii="Times New Roman" w:hAnsi="Times New Roman" w:eastAsia="黑体"/>
          <w:color w:val="auto"/>
          <w:sz w:val="44"/>
          <w:szCs w:val="44"/>
          <w:highlight w:val="none"/>
        </w:rPr>
      </w:pPr>
    </w:p>
    <w:p>
      <w:pPr>
        <w:spacing w:line="600" w:lineRule="exact"/>
        <w:jc w:val="center"/>
        <w:outlineLvl w:val="0"/>
        <w:rPr>
          <w:rFonts w:hint="eastAsia" w:ascii="Times New Roman" w:hAnsi="Times New Roman" w:eastAsia="黑体"/>
          <w:color w:val="auto"/>
          <w:sz w:val="44"/>
          <w:szCs w:val="44"/>
          <w:highlight w:val="none"/>
        </w:rPr>
      </w:pPr>
    </w:p>
    <w:p>
      <w:pPr>
        <w:spacing w:line="600" w:lineRule="exact"/>
        <w:jc w:val="center"/>
        <w:outlineLvl w:val="0"/>
        <w:rPr>
          <w:rFonts w:hint="eastAsia" w:ascii="Times New Roman" w:hAnsi="Times New Roman" w:eastAsia="黑体"/>
          <w:color w:val="auto"/>
          <w:sz w:val="44"/>
          <w:szCs w:val="44"/>
          <w:highlight w:val="none"/>
        </w:rPr>
      </w:pPr>
    </w:p>
    <w:p>
      <w:pPr>
        <w:spacing w:line="600" w:lineRule="exact"/>
        <w:jc w:val="center"/>
        <w:outlineLvl w:val="0"/>
        <w:rPr>
          <w:rFonts w:hint="eastAsia" w:ascii="Times New Roman" w:hAnsi="Times New Roman" w:eastAsia="黑体"/>
          <w:color w:val="auto"/>
          <w:sz w:val="44"/>
          <w:szCs w:val="44"/>
          <w:highlight w:val="none"/>
        </w:rPr>
      </w:pPr>
    </w:p>
    <w:p>
      <w:pPr>
        <w:spacing w:line="600" w:lineRule="exact"/>
        <w:jc w:val="center"/>
        <w:outlineLvl w:val="0"/>
        <w:rPr>
          <w:rFonts w:hint="eastAsia" w:ascii="Times New Roman" w:hAnsi="Times New Roman" w:eastAsia="黑体"/>
          <w:color w:val="auto"/>
          <w:sz w:val="44"/>
          <w:szCs w:val="44"/>
          <w:highlight w:val="none"/>
        </w:rPr>
      </w:pPr>
    </w:p>
    <w:p>
      <w:p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59"/>
      <w:bookmarkEnd w:id="60"/>
    </w:p>
    <w:p>
      <w:pPr>
        <w:spacing w:line="600" w:lineRule="exact"/>
        <w:jc w:val="left"/>
        <w:rPr>
          <w:rFonts w:ascii="Times New Roman" w:hAnsi="Times New Roman"/>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bookmarkStart w:id="61" w:name="_Toc15377226"/>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2.一般公共事务支出（类）组织事务（款）其他组织事务支出（项）：指反映其他用于中国共产党组织部门的事务支出。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3.社会保障和就业（类）行政事业单位养老（款）行政单位离退休（项）:指反映行政单位（包括实行公务员管理的事业单位）开支的离退休经费。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4.社会保障和就业（类）行政事业单位养老（款）机关事业单位基本养老保险缴费（项）:指机关事业单位实施养老保险制度由单位缴纳的基本养老保险费支出。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5.社会保障和就业（类）行政事业单位养老（款）机关事业单位职业年金缴费（项）:指机关事业单位实施养老保险制度由单位实际缴纳的职业年金支出（含职业年金补记支出）。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6.社会保障和就业（类）社会福利（款）儿童福利（项）:指对儿童提供福利服务方面的支出。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卫生健康（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8.卫生健康（类）行政事业单位医疗（款）公务员医疗补助（项）:指财政部门安排的公务员医疗补助经费。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9.卫生健康（类）行政事业单位医疗（款）其他行政事业单位医疗（项）:指除行政单位医疗和公务员医疗补助以外的其他用于行政事业单位医疗方面的支出。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10.卫生健康（类）其他卫生健康（款）其他卫生健康（项）:指除行政事业单位医疗以外的其他用于卫生健康方面的支出。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11.城乡社区（类）城乡社区管理事务（款）行政运行（项）:指行政单位（包括实行公务员管理的事业单位）的基本支出。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12.城乡社区（类）城乡社区管理事务（款）一般行政管理事务（项）:行政单位（包括实行公务中管理的事业单位）未单独设置项级科目的其他项目支出。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13.城乡社区（类）城乡社区管理事务（款）其他城乡社区管理事务（项）:指行政单位（包括实行公务员管理的事业单位）除行政运行和一般行政管理事务外的其他支出。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14.城乡社区（类）城乡社区环境卫生（款）城乡社区环境卫生（项）:指城乡社区道路清扫、垃圾清运与处理、公厕建设与维护、园林绿化等方面的支出。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eastAsia="仿宋_GB2312" w:cs="仿宋_GB2312"/>
          <w:color w:val="auto"/>
          <w:kern w:val="2"/>
          <w:sz w:val="32"/>
          <w:szCs w:val="32"/>
          <w:highlight w:val="none"/>
          <w:lang w:eastAsia="zh-CN" w:bidi="ar-SA"/>
        </w:rPr>
        <w:t>5.</w:t>
      </w:r>
      <w:r>
        <w:rPr>
          <w:rFonts w:hint="eastAsia" w:ascii="Times New Roman" w:hAnsi="Times New Roman" w:eastAsia="仿宋_GB2312" w:cs="仿宋_GB2312"/>
          <w:color w:val="auto"/>
          <w:kern w:val="2"/>
          <w:sz w:val="32"/>
          <w:szCs w:val="32"/>
          <w:highlight w:val="none"/>
          <w:lang w:val="en-US" w:eastAsia="zh-CN" w:bidi="ar-SA"/>
        </w:rPr>
        <w:t>房保障（类）住房改革（款）住房公积金（项）:指行政事业单位按人力资源和社会保障部、财政部规定的基本工资和津贴补贴以及规定比例为职工缴纳的住房公积金。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w:t>
      </w:r>
      <w:r>
        <w:rPr>
          <w:rFonts w:hint="eastAsia" w:ascii="Times New Roman" w:hAnsi="Times New Roman" w:eastAsia="仿宋_GB2312" w:cs="仿宋_GB2312"/>
          <w:color w:val="auto"/>
          <w:kern w:val="2"/>
          <w:sz w:val="32"/>
          <w:szCs w:val="32"/>
          <w:highlight w:val="none"/>
          <w:lang w:val="en-US" w:eastAsia="zh-CN" w:bidi="ar-SA"/>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.机关运行经费：为保障行政单位（含参照公务员法管理的事业单位）运行用于购买货物和服务的各项资金，包括办公费、邮电费、差旅费、福利费、办公用房水电费、公务用车运行维护费以及其他费用。</w:t>
      </w:r>
      <w:r>
        <w:rPr>
          <w:rFonts w:hint="eastAsia" w:ascii="Times New Roman" w:hAnsi="Times New Roman" w:eastAsia="仿宋_GB2312" w:cs="仿宋_GB2312"/>
          <w:color w:val="auto"/>
          <w:kern w:val="2"/>
          <w:sz w:val="32"/>
          <w:szCs w:val="32"/>
          <w:highlight w:val="none"/>
          <w:lang w:val="en-US" w:eastAsia="zh-CN" w:bidi="ar-SA"/>
        </w:rPr>
        <w:br w:type="page"/>
      </w:r>
      <w:bookmarkStart w:id="62" w:name="_Toc153966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20"/>
          <w:rFonts w:hint="eastAsia" w:ascii="Times New Roman" w:hAnsi="Times New Roman" w:eastAsia="黑体"/>
          <w:b w:val="0"/>
          <w:color w:val="auto"/>
          <w:highlight w:val="none"/>
          <w:lang w:eastAsia="zh-CN"/>
        </w:rPr>
      </w:pP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62"/>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40" w:firstLineChars="200"/>
        <w:jc w:val="both"/>
        <w:outlineLvl w:val="9"/>
        <w:rPr>
          <w:rFonts w:ascii="Times New Roman" w:hAnsi="Times New Roman" w:eastAsia="仿宋_GB2312" w:cs="Times New Roman"/>
          <w:caps w:val="0"/>
          <w:smallCaps w:val="0"/>
          <w:color w:val="auto"/>
          <w:w w:val="95"/>
          <w:kern w:val="0"/>
          <w:sz w:val="32"/>
          <w:szCs w:val="32"/>
          <w:vertAlign w:val="baseline"/>
          <w:lang w:eastAsia="zh-CN"/>
        </w:rPr>
      </w:pPr>
      <w:r>
        <w:rPr>
          <w:rFonts w:hint="eastAsia" w:cs="Times New Roman"/>
          <w:sz w:val="32"/>
          <w:szCs w:val="32"/>
          <w:highlight w:val="none"/>
          <w:lang w:val="en-US" w:eastAsia="zh-CN" w:bidi="ar-SA"/>
        </w:rPr>
        <w:t>部门预算项目支出绩效自评表（2024年度）</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kern w:val="2"/>
          <w:sz w:val="32"/>
          <w:szCs w:val="32"/>
          <w:u w:val="none"/>
          <w:lang w:val="zh-CN" w:eastAsia="zh-CN"/>
        </w:rPr>
      </w:pP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8"/>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widowControl/>
        <w:jc w:val="center"/>
        <w:rPr>
          <w:rFonts w:hint="eastAsia" w:ascii="Times New Roman" w:hAnsi="Times New Roman" w:eastAsia="黑体"/>
          <w:color w:val="auto"/>
          <w:sz w:val="44"/>
          <w:szCs w:val="44"/>
          <w:highlight w:val="none"/>
        </w:rPr>
      </w:pPr>
      <w:bookmarkStart w:id="63" w:name="_Toc15396618"/>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0"/>
          <w:rFonts w:hint="eastAsia" w:ascii="Times New Roman" w:hAnsi="Times New Roman" w:eastAsia="黑体"/>
          <w:b w:val="0"/>
          <w:color w:val="auto"/>
          <w:highlight w:val="none"/>
        </w:rPr>
        <w:t>五部分 附表</w:t>
      </w:r>
      <w:bookmarkEnd w:id="61"/>
      <w:bookmarkEnd w:id="63"/>
      <w:bookmarkStart w:id="64" w:name="_Toc15396619"/>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64"/>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0"/>
      <w:r>
        <w:rPr>
          <w:rFonts w:hint="eastAsia" w:ascii="Times New Roman" w:hAnsi="Times New Roman" w:eastAsia="仿宋_GB2312" w:cs="仿宋_GB2312"/>
          <w:color w:val="auto"/>
          <w:sz w:val="32"/>
          <w:szCs w:val="32"/>
          <w:highlight w:val="none"/>
        </w:rPr>
        <w:t>二、收入决算表</w:t>
      </w:r>
      <w:bookmarkEnd w:id="65"/>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21"/>
      <w:r>
        <w:rPr>
          <w:rFonts w:hint="eastAsia" w:ascii="Times New Roman" w:hAnsi="Times New Roman" w:eastAsia="仿宋_GB2312" w:cs="仿宋_GB2312"/>
          <w:color w:val="auto"/>
          <w:sz w:val="32"/>
          <w:szCs w:val="32"/>
          <w:highlight w:val="none"/>
        </w:rPr>
        <w:t>三、支出决算表</w:t>
      </w:r>
      <w:bookmarkEnd w:id="66"/>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7" w:name="_Toc15396622"/>
      <w:r>
        <w:rPr>
          <w:rFonts w:hint="eastAsia" w:ascii="Times New Roman" w:hAnsi="Times New Roman" w:eastAsia="仿宋_GB2312" w:cs="仿宋_GB2312"/>
          <w:color w:val="auto"/>
          <w:sz w:val="32"/>
          <w:szCs w:val="32"/>
          <w:highlight w:val="none"/>
        </w:rPr>
        <w:t>四、财政拨款收入支出决算总表</w:t>
      </w:r>
      <w:bookmarkEnd w:id="67"/>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8" w:name="_Toc15396623"/>
      <w:r>
        <w:rPr>
          <w:rFonts w:hint="eastAsia" w:ascii="Times New Roman" w:hAnsi="Times New Roman" w:eastAsia="仿宋_GB2312" w:cs="仿宋_GB2312"/>
          <w:color w:val="auto"/>
          <w:sz w:val="32"/>
          <w:szCs w:val="32"/>
          <w:highlight w:val="none"/>
        </w:rPr>
        <w:t>五、财政拨款支出决算明细表</w:t>
      </w:r>
      <w:bookmarkEnd w:id="68"/>
      <w:bookmarkStart w:id="69" w:name="_Toc15396624"/>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9"/>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0" w:name="_Toc15396625"/>
      <w:r>
        <w:rPr>
          <w:rFonts w:hint="eastAsia" w:ascii="Times New Roman" w:hAnsi="Times New Roman" w:eastAsia="仿宋_GB2312" w:cs="仿宋_GB2312"/>
          <w:color w:val="auto"/>
          <w:sz w:val="32"/>
          <w:szCs w:val="32"/>
          <w:highlight w:val="none"/>
        </w:rPr>
        <w:t>七、一般公共预算财政拨款支出决算明细表</w:t>
      </w:r>
      <w:bookmarkEnd w:id="70"/>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1" w:name="_Toc15396626"/>
      <w:r>
        <w:rPr>
          <w:rFonts w:hint="eastAsia" w:ascii="Times New Roman" w:hAnsi="Times New Roman" w:eastAsia="仿宋_GB2312" w:cs="仿宋_GB2312"/>
          <w:color w:val="auto"/>
          <w:sz w:val="32"/>
          <w:szCs w:val="32"/>
          <w:highlight w:val="none"/>
        </w:rPr>
        <w:t>八、一般公共预算财政拨款基本支出决算表</w:t>
      </w:r>
      <w:bookmarkEnd w:id="71"/>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2" w:name="_Toc15396627"/>
      <w:r>
        <w:rPr>
          <w:rFonts w:hint="eastAsia" w:ascii="Times New Roman" w:hAnsi="Times New Roman" w:eastAsia="仿宋_GB2312" w:cs="仿宋_GB2312"/>
          <w:color w:val="auto"/>
          <w:sz w:val="32"/>
          <w:szCs w:val="32"/>
          <w:highlight w:val="none"/>
        </w:rPr>
        <w:t>九、一般公共预算财政拨款项目支出决算表</w:t>
      </w:r>
      <w:bookmarkEnd w:id="72"/>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3" w:name="_Toc15396628"/>
      <w:r>
        <w:rPr>
          <w:rFonts w:hint="eastAsia" w:ascii="Times New Roman" w:hAnsi="Times New Roman" w:eastAsia="仿宋_GB2312" w:cs="仿宋_GB2312"/>
          <w:color w:val="auto"/>
          <w:sz w:val="32"/>
          <w:szCs w:val="32"/>
          <w:highlight w:val="none"/>
        </w:rPr>
        <w:t>十、</w:t>
      </w:r>
      <w:bookmarkEnd w:id="73"/>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4" w:name="_Toc15396629"/>
      <w:r>
        <w:rPr>
          <w:rFonts w:hint="eastAsia" w:ascii="Times New Roman" w:hAnsi="Times New Roman" w:eastAsia="仿宋_GB2312" w:cs="仿宋_GB2312"/>
          <w:color w:val="auto"/>
          <w:sz w:val="32"/>
          <w:szCs w:val="32"/>
          <w:highlight w:val="none"/>
        </w:rPr>
        <w:t>十一、</w:t>
      </w:r>
      <w:bookmarkEnd w:id="7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5" w:name="_Toc15396630"/>
      <w:r>
        <w:rPr>
          <w:rFonts w:hint="eastAsia" w:ascii="Times New Roman" w:hAnsi="Times New Roman" w:eastAsia="仿宋_GB2312" w:cs="仿宋_GB2312"/>
          <w:color w:val="auto"/>
          <w:sz w:val="32"/>
          <w:szCs w:val="32"/>
          <w:highlight w:val="none"/>
        </w:rPr>
        <w:t>十二、</w:t>
      </w:r>
      <w:bookmarkEnd w:id="75"/>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76" w:name="_Toc15396631"/>
      <w:r>
        <w:rPr>
          <w:rFonts w:hint="eastAsia" w:ascii="Times New Roman" w:hAnsi="Times New Roman" w:eastAsia="仿宋_GB2312" w:cs="仿宋_GB2312"/>
          <w:color w:val="auto"/>
          <w:sz w:val="32"/>
          <w:szCs w:val="32"/>
          <w:highlight w:val="none"/>
        </w:rPr>
        <w:t>十三、</w:t>
      </w:r>
      <w:bookmarkEnd w:id="76"/>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7" w:type="first"/>
      <w:footerReference r:id="rId6" w:type="default"/>
      <w:pgSz w:w="11906" w:h="16838"/>
      <w:pgMar w:top="1440" w:right="1800"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Lucida Sans">
    <w:altName w:val="Lucida Sans Unicode"/>
    <w:panose1 w:val="00000000000000000000"/>
    <w:charset w:val="01"/>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doNotUseMarginsForDrawingGridOrigin w:val="1"/>
  <w:drawingGridHorizontalOrigin w:val="0"/>
  <w:drawingGridVerticalOrigin w:val="0"/>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rsids>
    <w:rsidRoot w:val="00000000"/>
    <w:rsid w:val="03FF2EBD"/>
    <w:rsid w:val="114F3909"/>
    <w:rsid w:val="19FF07E6"/>
    <w:rsid w:val="201D6580"/>
    <w:rsid w:val="2F6F8BF2"/>
    <w:rsid w:val="357F07A3"/>
    <w:rsid w:val="5B4B2F8F"/>
    <w:rsid w:val="634E978E"/>
    <w:rsid w:val="6AEB7CB5"/>
    <w:rsid w:val="6D6E54A4"/>
    <w:rsid w:val="6EFF9610"/>
    <w:rsid w:val="6FA931CF"/>
    <w:rsid w:val="6FFB2D9C"/>
    <w:rsid w:val="773F4819"/>
    <w:rsid w:val="7A79E0DD"/>
    <w:rsid w:val="7BBB95B7"/>
    <w:rsid w:val="96FEF475"/>
    <w:rsid w:val="BFCA7752"/>
    <w:rsid w:val="BFCD6FEC"/>
    <w:rsid w:val="CFFA221C"/>
    <w:rsid w:val="DEFF7FD6"/>
    <w:rsid w:val="F96FAC11"/>
    <w:rsid w:val="FED793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0"/>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link w:val="21"/>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7">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qFormat/>
    <w:uiPriority w:val="0"/>
    <w:pPr>
      <w:ind w:firstLine="200" w:firstLineChars="200"/>
    </w:pPr>
  </w:style>
  <w:style w:type="paragraph" w:styleId="4">
    <w:name w:val="Body Text Indent"/>
    <w:basedOn w:val="1"/>
    <w:next w:val="3"/>
    <w:qFormat/>
    <w:uiPriority w:val="0"/>
    <w:pPr>
      <w:spacing w:after="120"/>
      <w:ind w:left="200" w:leftChars="200"/>
    </w:pPr>
    <w:rPr>
      <w:rFonts w:ascii="仿宋_GB2312" w:hAnsi="仿宋_GB2312"/>
      <w:szCs w:val="32"/>
    </w:rPr>
  </w:style>
  <w:style w:type="paragraph" w:styleId="8">
    <w:name w:val="Body Text"/>
    <w:basedOn w:val="1"/>
    <w:qFormat/>
    <w:uiPriority w:val="0"/>
    <w:pPr>
      <w:spacing w:before="30" w:beforeLines="30"/>
    </w:pPr>
    <w:rPr>
      <w:rFonts w:ascii="仿宋_GB2312" w:eastAsia="仿宋_GB2312"/>
      <w:kern w:val="0"/>
      <w:sz w:val="30"/>
    </w:r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0"/>
    <w:pPr>
      <w:tabs>
        <w:tab w:val="right" w:leader="dot" w:pos="8296"/>
      </w:tabs>
      <w:spacing w:before="93"/>
      <w:jc w:val="center"/>
    </w:pPr>
    <w:rPr>
      <w:rFonts w:ascii="仿宋" w:eastAsia="仿宋"/>
      <w:sz w:val="28"/>
      <w:szCs w:val="28"/>
    </w:rPr>
  </w:style>
  <w:style w:type="paragraph" w:styleId="14">
    <w:name w:val="toc 2"/>
    <w:basedOn w:val="1"/>
    <w:next w:val="1"/>
    <w:qFormat/>
    <w:uiPriority w:val="0"/>
    <w:pPr>
      <w:tabs>
        <w:tab w:val="right" w:leader="dot" w:pos="8296"/>
      </w:tabs>
      <w:ind w:left="200" w:leftChars="200"/>
    </w:pPr>
  </w:style>
  <w:style w:type="paragraph" w:styleId="15">
    <w:name w:val="Normal (Web)"/>
    <w:basedOn w:val="1"/>
    <w:qFormat/>
    <w:uiPriority w:val="0"/>
    <w:rPr>
      <w:sz w:val="24"/>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character" w:customStyle="1" w:styleId="20">
    <w:name w:val="heading 1 Char"/>
    <w:basedOn w:val="17"/>
    <w:link w:val="5"/>
    <w:qFormat/>
    <w:uiPriority w:val="0"/>
    <w:rPr>
      <w:rFonts w:ascii="Times New Roman" w:hAnsi="Times New Roman" w:eastAsia="宋体" w:cs="Times New Roman"/>
      <w:b/>
      <w:bCs/>
      <w:kern w:val="44"/>
      <w:sz w:val="44"/>
      <w:szCs w:val="44"/>
      <w:lang w:val="en-US" w:eastAsia="zh-CN" w:bidi="ar-SA"/>
    </w:rPr>
  </w:style>
  <w:style w:type="character" w:customStyle="1" w:styleId="21">
    <w:name w:val="heading 2 Char"/>
    <w:basedOn w:val="17"/>
    <w:link w:val="6"/>
    <w:qFormat/>
    <w:uiPriority w:val="0"/>
    <w:rPr>
      <w:rFonts w:ascii="Cambria" w:hAnsi="Cambria" w:eastAsia="宋体" w:cs="Times New Roman"/>
      <w:b/>
      <w:bCs/>
      <w:kern w:val="2"/>
      <w:sz w:val="32"/>
      <w:szCs w:val="32"/>
      <w:lang w:val="en-US" w:eastAsia="zh-CN" w:bidi="ar-SA"/>
    </w:rPr>
  </w:style>
  <w:style w:type="paragraph" w:customStyle="1" w:styleId="22">
    <w:name w:val="标题 5（有编号）（绿盟科技）"/>
    <w:next w:val="1"/>
    <w:qFormat/>
    <w:uiPriority w:val="0"/>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7"/>
    <w:qFormat/>
    <w:uiPriority w:val="0"/>
    <w:rPr>
      <w:rFonts w:ascii="Times New Roman" w:hAnsi="Times New Roman"/>
      <w:sz w:val="18"/>
      <w:szCs w:val="18"/>
    </w:rPr>
  </w:style>
  <w:style w:type="character" w:customStyle="1" w:styleId="24">
    <w:name w:val="Footer Char"/>
    <w:basedOn w:val="17"/>
    <w:qFormat/>
    <w:uiPriority w:val="0"/>
    <w:rPr>
      <w:rFonts w:ascii="Times New Roman" w:hAnsi="Times New Roman"/>
      <w:sz w:val="18"/>
      <w:szCs w:val="18"/>
    </w:rPr>
  </w:style>
  <w:style w:type="character" w:customStyle="1" w:styleId="25">
    <w:name w:val="Body Text Char"/>
    <w:basedOn w:val="17"/>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7">
    <w:name w:val="List Paragraph"/>
    <w:basedOn w:val="1"/>
    <w:qFormat/>
    <w:uiPriority w:val="0"/>
    <w:pPr>
      <w:ind w:firstLine="200" w:firstLineChars="200"/>
    </w:pPr>
  </w:style>
  <w:style w:type="paragraph" w:customStyle="1" w:styleId="28">
    <w:name w:val="TOC 标题1"/>
    <w:basedOn w:val="5"/>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9">
    <w:name w:val="TOC Heading"/>
    <w:basedOn w:val="5"/>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30">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26700;&#38754;/2024&#24180;&#20915;&#31639;&#20844;&#24320;/2024&#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user/&#26700;&#38754;/2024&#24180;&#20915;&#31639;&#20844;&#24320;/2024&#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user/&#26700;&#38754;/2024&#24180;&#20915;&#31639;&#20844;&#24320;/2024&#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26700;&#38754;/2024&#24180;&#20915;&#31639;&#20844;&#24320;/2024&#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26700;&#38754;/2024&#24180;&#20915;&#31639;&#20844;&#24320;/2024&#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ome/user/&#26700;&#38754;/2024&#24180;&#20915;&#31639;&#20844;&#24320;/2024&#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ome/user/&#26700;&#38754;/2024&#24180;&#20915;&#31639;&#20844;&#24320;/2024&#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77845944103613"/>
          <c:y val="0.0290523403274153"/>
          <c:w val="0.868"/>
          <c:h val="0.92925"/>
        </c:manualLayout>
      </c:layout>
      <c:barChart>
        <c:barDir val="col"/>
        <c:grouping val="clustered"/>
        <c:varyColors val="0"/>
        <c:ser>
          <c:idx val="0"/>
          <c:order val="0"/>
          <c:spPr>
            <a:solidFill>
              <a:srgbClr val="9999FF"/>
            </a:solidFill>
            <a:ln w="12700">
              <a:solidFill>
                <a:srgbClr val="000000"/>
              </a:solidFill>
            </a:ln>
          </c:spPr>
          <c:invertIfNegative val="0"/>
          <c:dLbls>
            <c:delete val="1"/>
          </c:dLbls>
          <c:cat>
            <c:strRef>
              <c:f>[2024图表.xls]Sheet1!$P$13:$Q$13</c:f>
              <c:strCache>
                <c:ptCount val="2"/>
                <c:pt idx="0">
                  <c:v>2023年收支总计1335.44万元</c:v>
                </c:pt>
                <c:pt idx="1">
                  <c:v>2024年收支总计1474.13万元</c:v>
                </c:pt>
              </c:strCache>
            </c:strRef>
          </c:cat>
          <c:val>
            <c:numRef>
              <c:f>[2024图表.xls]Sheet1!$P$14:$Q$14</c:f>
              <c:numCache>
                <c:formatCode>General</c:formatCode>
                <c:ptCount val="2"/>
                <c:pt idx="0">
                  <c:v>1335.44</c:v>
                </c:pt>
                <c:pt idx="1">
                  <c:v>1474.13</c:v>
                </c:pt>
              </c:numCache>
            </c:numRef>
          </c:val>
        </c:ser>
        <c:dLbls>
          <c:showLegendKey val="0"/>
          <c:showVal val="0"/>
          <c:showCatName val="0"/>
          <c:showSerName val="0"/>
          <c:showPercent val="0"/>
          <c:showBubbleSize val="0"/>
        </c:dLbls>
        <c:gapWidth val="150"/>
        <c:overlap val="0"/>
        <c:axId val="324926405"/>
        <c:axId val="90002909"/>
      </c:barChart>
      <c:catAx>
        <c:axId val="324926405"/>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crossAx val="90002909"/>
        <c:crosses val="autoZero"/>
        <c:auto val="1"/>
        <c:lblAlgn val="ctr"/>
        <c:lblOffset val="100"/>
        <c:noMultiLvlLbl val="0"/>
      </c:catAx>
      <c:valAx>
        <c:axId val="90002909"/>
        <c:scaling>
          <c:orientation val="minMax"/>
          <c:min val="0"/>
        </c:scaling>
        <c:delete val="0"/>
        <c:axPos val="l"/>
        <c:majorGridlines>
          <c:spPr>
            <a:ln w="12700"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crossAx val="324926405"/>
        <c:crosses val="autoZero"/>
        <c:crossBetween val="between"/>
      </c:valAx>
      <c:spPr>
        <a:solidFill>
          <a:srgbClr val="C0C0C0">
            <a:alpha val="100000"/>
          </a:srgbClr>
        </a:solidFill>
        <a:ln w="12700">
          <a:solidFill>
            <a:srgbClr val="808080">
              <a:alpha val="100000"/>
            </a:srgbClr>
          </a:solidFill>
          <a:prstDash val="solid"/>
        </a:ln>
      </c:spPr>
    </c:plotArea>
    <c:plotVisOnly val="1"/>
    <c:dispBlanksAs val="gap"/>
    <c:showDLblsOverMax val="0"/>
  </c:chart>
  <c:spPr>
    <a:solidFill>
      <a:srgbClr val="FFFFFF"/>
    </a:solidFill>
    <a:ln w="12700"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573979591837"/>
          <c:y val="0.22975468164794"/>
          <c:w val="0.3675"/>
          <c:h val="0.53325"/>
        </c:manualLayout>
      </c:layout>
      <c:pieChart>
        <c:varyColors val="1"/>
        <c:ser>
          <c:idx val="0"/>
          <c:order val="0"/>
          <c:spPr>
            <a:solidFill>
              <a:srgbClr val="9999FF"/>
            </a:solidFill>
            <a:ln w="12700">
              <a:solidFill>
                <a:srgbClr val="000000">
                  <a:alpha val="100000"/>
                </a:srgbClr>
              </a:solidFill>
              <a:prstDash val="solid"/>
            </a:ln>
          </c:spPr>
          <c:explosion val="0"/>
          <c:dPt>
            <c:idx val="0"/>
            <c:bubble3D val="0"/>
            <c:explosion val="0"/>
            <c:spPr>
              <a:solidFill>
                <a:srgbClr val="9999FF"/>
              </a:solidFill>
              <a:ln w="12700">
                <a:solidFill>
                  <a:srgbClr val="000000">
                    <a:alpha val="100000"/>
                  </a:srgbClr>
                </a:solidFill>
                <a:prstDash val="solid"/>
              </a:ln>
              <a:effectLst/>
            </c:spPr>
          </c:dPt>
          <c:dLbls>
            <c:dLbl>
              <c:idx val="0"/>
              <c:layout>
                <c:manualLayout>
                  <c:x val="-0.0098890268486827"/>
                  <c:y val="-0.34647231753711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5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5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[2024图表.xls]Sheet1!$B$2</c:f>
              <c:strCache>
                <c:ptCount val="1"/>
                <c:pt idx="0">
                  <c:v>一般公共预算财政拨款收入1474.13万元</c:v>
                </c:pt>
              </c:strCache>
            </c:strRef>
          </c:cat>
          <c:val>
            <c:numRef>
              <c:f>[2024图表.xls]Sheet1!$B$3</c:f>
              <c:numCache>
                <c:formatCode>General</c:formatCode>
                <c:ptCount val="1"/>
                <c:pt idx="0">
                  <c:v>1474.13</c:v>
                </c:pt>
              </c:numCache>
            </c:numRef>
          </c:val>
        </c:ser>
        <c:dLbls>
          <c:showLegendKey val="0"/>
          <c:showVal val="0"/>
          <c:showCatName val="0"/>
          <c:showSerName val="0"/>
          <c:showPercent val="0"/>
          <c:showBubbleSize val="0"/>
          <c:showLeaderLines val="1"/>
        </c:dLbls>
        <c:firstSliceAng val="0"/>
      </c:pieChart>
      <c:spPr>
        <a:noFill/>
        <a:ln w="12700">
          <a:noFill/>
        </a:ln>
      </c:spPr>
    </c:plotArea>
    <c:legend>
      <c:legendPos val="r"/>
      <c:layout>
        <c:manualLayout>
          <c:xMode val="edge"/>
          <c:yMode val="edge"/>
          <c:x val="0.6245"/>
          <c:y val="0.18775"/>
          <c:w val="0.320522712706273"/>
          <c:h val="0.569884274844606"/>
        </c:manualLayout>
      </c:layout>
      <c:overlay val="0"/>
      <c:spPr>
        <a:solidFill>
          <a:srgbClr val="FFFFFF"/>
        </a:solidFill>
        <a:ln w="12700">
          <a:solidFill>
            <a:srgbClr val="000000">
              <a:alpha val="100000"/>
            </a:srgbClr>
          </a:solidFill>
          <a:prstDash val="solid"/>
        </a:ln>
      </c:spPr>
      <c:txPr>
        <a:bodyPr rot="0" spcFirstLastPara="0" vertOverflow="ellipsis" vert="horz" wrap="square" anchor="ctr" anchorCtr="1"/>
        <a:lstStyle/>
        <a:p>
          <a:pPr>
            <a:defRPr lang="zh-CN" sz="500" b="0" i="0" u="none" strike="noStrike" kern="1200" baseline="0">
              <a:solidFill>
                <a:srgbClr val="000000"/>
              </a:solidFill>
              <a:latin typeface="宋体" panose="02010600030101010101" charset="-122"/>
              <a:ea typeface="宋体" panose="02010600030101010101" charset="-122"/>
              <a:cs typeface="Lucida Sans"/>
            </a:defRPr>
          </a:pPr>
        </a:p>
      </c:txPr>
    </c:legend>
    <c:plotVisOnly val="1"/>
    <c:dispBlanksAs val="zero"/>
    <c:showDLblsOverMax val="0"/>
  </c:chart>
  <c:spPr>
    <a:solidFill>
      <a:srgbClr val="FFFFFF"/>
    </a:solidFill>
    <a:ln w="12700" cap="flat" cmpd="sng" algn="ctr">
      <a:solidFill>
        <a:srgbClr val="000000">
          <a:alpha val="100000"/>
        </a:srgbClr>
      </a:solidFill>
      <a:prstDash val="solid"/>
      <a:round/>
    </a:ln>
  </c:spPr>
  <c:txPr>
    <a:bodyPr rot="0" wrap="square" anchor="ctr" anchorCtr="1"/>
    <a:lstStyle/>
    <a:p>
      <a:pPr>
        <a:defRPr lang="zh-CN" sz="5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25"/>
          <c:y val="0.223"/>
          <c:w val="0.44975"/>
          <c:h val="0.5545"/>
        </c:manualLayout>
      </c:layout>
      <c:pieChart>
        <c:varyColors val="1"/>
        <c:ser>
          <c:idx val="0"/>
          <c:order val="0"/>
          <c:spPr>
            <a:solidFill>
              <a:srgbClr val="9999FF"/>
            </a:solidFill>
            <a:ln w="12700">
              <a:solidFill>
                <a:srgbClr val="000000">
                  <a:alpha val="100000"/>
                </a:srgbClr>
              </a:solidFill>
              <a:prstDash val="solid"/>
            </a:ln>
          </c:spPr>
          <c:explosion val="0"/>
          <c:dPt>
            <c:idx val="0"/>
            <c:bubble3D val="0"/>
            <c:explosion val="0"/>
            <c:spPr>
              <a:solidFill>
                <a:srgbClr val="9999FF"/>
              </a:solidFill>
              <a:ln w="12700">
                <a:solidFill>
                  <a:srgbClr val="000000">
                    <a:alpha val="100000"/>
                  </a:srgbClr>
                </a:solidFill>
                <a:prstDash val="solid"/>
              </a:ln>
              <a:effectLst/>
            </c:spPr>
          </c:dPt>
          <c:dPt>
            <c:idx val="1"/>
            <c:bubble3D val="0"/>
            <c:explosion val="0"/>
            <c:spPr>
              <a:solidFill>
                <a:srgbClr val="993366"/>
              </a:solidFill>
              <a:ln w="12700">
                <a:solidFill>
                  <a:srgbClr val="000000">
                    <a:alpha val="100000"/>
                  </a:srgbClr>
                </a:solidFill>
                <a:prstDash val="solid"/>
              </a:ln>
              <a:effectLst/>
            </c:spPr>
          </c:dPt>
          <c:dLbls>
            <c:dLbl>
              <c:idx val="0"/>
              <c:layout>
                <c:manualLayout>
                  <c:x val="-0.0929613663715076"/>
                  <c:y val="-0.18415897654931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716597002600509"/>
                  <c:y val="0.12699990822063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[2024图表.xls]Sheet1!$G$2:$H$2</c:f>
              <c:strCache>
                <c:ptCount val="2"/>
                <c:pt idx="0">
                  <c:v>基本支出1126.37万元</c:v>
                </c:pt>
                <c:pt idx="1">
                  <c:v>项目支出347.77元</c:v>
                </c:pt>
              </c:strCache>
            </c:strRef>
          </c:cat>
          <c:val>
            <c:numRef>
              <c:f>[2024图表.xls]Sheet1!$G$3:$H$3</c:f>
              <c:numCache>
                <c:formatCode>General</c:formatCode>
                <c:ptCount val="2"/>
                <c:pt idx="0">
                  <c:v>1126.37</c:v>
                </c:pt>
                <c:pt idx="1">
                  <c:v>347.77</c:v>
                </c:pt>
              </c:numCache>
            </c:numRef>
          </c:val>
        </c:ser>
        <c:dLbls>
          <c:showLegendKey val="0"/>
          <c:showVal val="0"/>
          <c:showCatName val="0"/>
          <c:showSerName val="0"/>
          <c:showPercent val="0"/>
          <c:showBubbleSize val="0"/>
          <c:showLeaderLines val="1"/>
        </c:dLbls>
        <c:firstSliceAng val="0"/>
      </c:pieChart>
      <c:spPr>
        <a:noFill/>
        <a:ln w="12700">
          <a:noFill/>
        </a:ln>
      </c:spPr>
    </c:plotArea>
    <c:legend>
      <c:legendPos val="r"/>
      <c:layout>
        <c:manualLayout>
          <c:xMode val="edge"/>
          <c:yMode val="edge"/>
          <c:x val="0.58"/>
          <c:y val="0.25"/>
          <c:w val="0.386305780883766"/>
          <c:h val="0.298404813112749"/>
        </c:manualLayout>
      </c:layout>
      <c:overlay val="0"/>
      <c:spPr>
        <a:solidFill>
          <a:srgbClr val="FFFFFF"/>
        </a:solidFill>
        <a:ln w="12700">
          <a:solidFill>
            <a:srgbClr val="000000">
              <a:alpha val="100000"/>
            </a:srgbClr>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legend>
    <c:plotVisOnly val="1"/>
    <c:dispBlanksAs val="zero"/>
    <c:showDLblsOverMax val="0"/>
  </c:chart>
  <c:spPr>
    <a:solidFill>
      <a:srgbClr val="FFFFFF"/>
    </a:solidFill>
    <a:ln w="12700"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25"/>
          <c:y val="0.08675"/>
          <c:w val="0.78875"/>
          <c:h val="0.8175"/>
        </c:manualLayout>
      </c:layout>
      <c:barChart>
        <c:barDir val="col"/>
        <c:grouping val="clustered"/>
        <c:varyColors val="0"/>
        <c:ser>
          <c:idx val="0"/>
          <c:order val="0"/>
          <c:spPr>
            <a:solidFill>
              <a:srgbClr val="9999FF"/>
            </a:solidFill>
            <a:ln w="12700">
              <a:solidFill>
                <a:srgbClr val="000000"/>
              </a:solidFill>
            </a:ln>
          </c:spPr>
          <c:invertIfNegative val="0"/>
          <c:dLbls>
            <c:delete val="1"/>
          </c:dLbls>
          <c:cat>
            <c:strRef>
              <c:f>[2024图表.xls]Sheet1!$A$22:$B$22</c:f>
              <c:strCache>
                <c:ptCount val="2"/>
                <c:pt idx="0">
                  <c:v>2023年财政拨款收支总计1335.44万元</c:v>
                </c:pt>
                <c:pt idx="1">
                  <c:v>2024年财政拨款收支总计1474.13万元</c:v>
                </c:pt>
              </c:strCache>
            </c:strRef>
          </c:cat>
          <c:val>
            <c:numRef>
              <c:f>[2024图表.xls]Sheet1!$A$23:$B$23</c:f>
              <c:numCache>
                <c:formatCode>General</c:formatCode>
                <c:ptCount val="2"/>
                <c:pt idx="0">
                  <c:v>1335.44</c:v>
                </c:pt>
                <c:pt idx="1">
                  <c:v>1474.13</c:v>
                </c:pt>
              </c:numCache>
            </c:numRef>
          </c:val>
        </c:ser>
        <c:dLbls>
          <c:showLegendKey val="0"/>
          <c:showVal val="0"/>
          <c:showCatName val="0"/>
          <c:showSerName val="0"/>
          <c:showPercent val="0"/>
          <c:showBubbleSize val="0"/>
        </c:dLbls>
        <c:gapWidth val="150"/>
        <c:overlap val="0"/>
        <c:axId val="194934837"/>
        <c:axId val="316430191"/>
      </c:barChart>
      <c:catAx>
        <c:axId val="194934837"/>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crossAx val="316430191"/>
        <c:crosses val="autoZero"/>
        <c:auto val="1"/>
        <c:lblAlgn val="ctr"/>
        <c:lblOffset val="100"/>
        <c:noMultiLvlLbl val="0"/>
      </c:catAx>
      <c:valAx>
        <c:axId val="316430191"/>
        <c:scaling>
          <c:orientation val="minMax"/>
          <c:min val="0"/>
        </c:scaling>
        <c:delete val="0"/>
        <c:axPos val="l"/>
        <c:majorGridlines>
          <c:spPr>
            <a:ln w="12700"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crossAx val="194934837"/>
        <c:crosses val="autoZero"/>
        <c:crossBetween val="between"/>
      </c:valAx>
      <c:spPr>
        <a:solidFill>
          <a:srgbClr val="C0C0C0">
            <a:alpha val="100000"/>
          </a:srgbClr>
        </a:solidFill>
        <a:ln w="12700">
          <a:solidFill>
            <a:srgbClr val="808080">
              <a:alpha val="100000"/>
            </a:srgbClr>
          </a:solidFill>
          <a:prstDash val="solid"/>
        </a:ln>
      </c:spPr>
    </c:plotArea>
    <c:plotVisOnly val="1"/>
    <c:dispBlanksAs val="gap"/>
    <c:showDLblsOverMax val="0"/>
  </c:chart>
  <c:spPr>
    <a:solidFill>
      <a:srgbClr val="FFFFFF"/>
    </a:solidFill>
    <a:ln w="12700"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3057644110276"/>
          <c:y val="0.029275092936803"/>
          <c:w val="0.936"/>
          <c:h val="0.81475"/>
        </c:manualLayout>
      </c:layout>
      <c:barChart>
        <c:barDir val="col"/>
        <c:grouping val="clustered"/>
        <c:varyColors val="0"/>
        <c:ser>
          <c:idx val="0"/>
          <c:order val="0"/>
          <c:tx>
            <c:strRef>
              <c:f>[2024图表.xls]Sheet1!$B$78</c:f>
              <c:strCache>
                <c:ptCount val="1"/>
                <c:pt idx="0">
                  <c:v>2024年度一般公共预算财政拨款支出1474.13元</c:v>
                </c:pt>
              </c:strCache>
            </c:strRef>
          </c:tx>
          <c:spPr>
            <a:solidFill>
              <a:srgbClr val="9999FF"/>
            </a:solidFill>
            <a:ln w="12700">
              <a:solidFill>
                <a:srgbClr val="000000"/>
              </a:solidFill>
            </a:ln>
          </c:spPr>
          <c:invertIfNegative val="0"/>
          <c:dLbls>
            <c:delete val="1"/>
          </c:dLbls>
          <c:cat>
            <c:multiLvlStrRef>
              <c:f>[2024图表.xls]Sheet1!$78:$79</c:f>
              <c:multiLvlStrCache>
                <c:ptCount val="256"/>
                <c:lvl>
                  <c:pt idx="0">
                    <c:v>1335.44</c:v>
                  </c:pt>
                  <c:pt idx="1">
                    <c:v>1474.13</c:v>
                  </c:pt>
                </c:lvl>
                <c:lvl>
                  <c:pt idx="0">
                    <c:v>2023年度一般公共预算财政拨款支出1335.44万元</c:v>
                  </c:pt>
                  <c:pt idx="1">
                    <c:v>2024年度一般公共预算财政拨款支出1474.13元</c:v>
                  </c:pt>
                </c:lvl>
              </c:multiLvlStrCache>
            </c:multiLvlStrRef>
          </c:cat>
          <c:val>
            <c:numRef>
              <c:f>[2024图表.xls]Sheet1!$A$79:$B$79</c:f>
              <c:numCache>
                <c:formatCode>General</c:formatCode>
                <c:ptCount val="2"/>
                <c:pt idx="0">
                  <c:v>1335.44</c:v>
                </c:pt>
                <c:pt idx="1">
                  <c:v>1474.13</c:v>
                </c:pt>
              </c:numCache>
            </c:numRef>
          </c:val>
        </c:ser>
        <c:dLbls>
          <c:showLegendKey val="0"/>
          <c:showVal val="0"/>
          <c:showCatName val="0"/>
          <c:showSerName val="0"/>
          <c:showPercent val="0"/>
          <c:showBubbleSize val="0"/>
        </c:dLbls>
        <c:gapWidth val="150"/>
        <c:overlap val="0"/>
        <c:axId val="48301556"/>
        <c:axId val="38499493"/>
      </c:barChart>
      <c:catAx>
        <c:axId val="4830155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crossAx val="38499493"/>
        <c:crossesAt val="0"/>
        <c:auto val="1"/>
        <c:lblAlgn val="ctr"/>
        <c:lblOffset val="100"/>
        <c:noMultiLvlLbl val="0"/>
      </c:catAx>
      <c:valAx>
        <c:axId val="38499493"/>
        <c:scaling>
          <c:orientation val="minMax"/>
          <c:min val="0"/>
        </c:scaling>
        <c:delete val="0"/>
        <c:axPos val="l"/>
        <c:majorGridlines>
          <c:spPr>
            <a:ln w="12700"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crossAx val="48301556"/>
        <c:crosses val="autoZero"/>
        <c:crossBetween val="between"/>
      </c:valAx>
      <c:spPr>
        <a:solidFill>
          <a:srgbClr val="C0C0C0">
            <a:alpha val="100000"/>
          </a:srgbClr>
        </a:solidFill>
        <a:ln w="12700">
          <a:solidFill>
            <a:srgbClr val="808080">
              <a:alpha val="100000"/>
            </a:srgbClr>
          </a:solidFill>
          <a:prstDash val="solid"/>
        </a:ln>
      </c:spPr>
    </c:plotArea>
    <c:plotVisOnly val="1"/>
    <c:dispBlanksAs val="gap"/>
    <c:showDLblsOverMax val="0"/>
  </c:chart>
  <c:spPr>
    <a:solidFill>
      <a:srgbClr val="FFFFFF"/>
    </a:solidFill>
    <a:ln w="12700"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557070180016"/>
          <c:y val="0.150576993464052"/>
          <c:w val="0.35225"/>
          <c:h val="0.779"/>
        </c:manualLayout>
      </c:layout>
      <c:pieChart>
        <c:varyColors val="1"/>
        <c:ser>
          <c:idx val="0"/>
          <c:order val="0"/>
          <c:spPr>
            <a:solidFill>
              <a:srgbClr val="9999FF"/>
            </a:solidFill>
            <a:ln w="3175">
              <a:solidFill>
                <a:srgbClr val="808080">
                  <a:alpha val="100000"/>
                </a:srgbClr>
              </a:solidFill>
              <a:prstDash val="solid"/>
            </a:ln>
          </c:spPr>
          <c:explosion val="0"/>
          <c:dPt>
            <c:idx val="0"/>
            <c:bubble3D val="0"/>
            <c:explosion val="0"/>
            <c:spPr>
              <a:solidFill>
                <a:srgbClr val="9999FF"/>
              </a:solidFill>
              <a:ln w="3175">
                <a:solidFill>
                  <a:srgbClr val="808080">
                    <a:alpha val="100000"/>
                  </a:srgbClr>
                </a:solidFill>
                <a:prstDash val="solid"/>
              </a:ln>
              <a:effectLst/>
            </c:spPr>
          </c:dPt>
          <c:dPt>
            <c:idx val="1"/>
            <c:bubble3D val="0"/>
            <c:explosion val="0"/>
            <c:spPr>
              <a:solidFill>
                <a:srgbClr val="993366"/>
              </a:solidFill>
              <a:ln w="3175">
                <a:solidFill>
                  <a:srgbClr val="808080">
                    <a:alpha val="100000"/>
                  </a:srgbClr>
                </a:solidFill>
                <a:prstDash val="solid"/>
              </a:ln>
              <a:effectLst/>
            </c:spPr>
          </c:dPt>
          <c:dPt>
            <c:idx val="2"/>
            <c:bubble3D val="0"/>
            <c:explosion val="0"/>
            <c:spPr>
              <a:solidFill>
                <a:srgbClr val="FFFFCC"/>
              </a:solidFill>
              <a:ln w="3175">
                <a:solidFill>
                  <a:srgbClr val="808080">
                    <a:alpha val="100000"/>
                  </a:srgbClr>
                </a:solidFill>
                <a:prstDash val="solid"/>
              </a:ln>
              <a:effectLst/>
            </c:spPr>
          </c:dPt>
          <c:dPt>
            <c:idx val="3"/>
            <c:bubble3D val="0"/>
            <c:explosion val="0"/>
            <c:spPr>
              <a:solidFill>
                <a:srgbClr val="CCFFFF"/>
              </a:solidFill>
              <a:ln w="3175">
                <a:solidFill>
                  <a:srgbClr val="808080">
                    <a:alpha val="100000"/>
                  </a:srgbClr>
                </a:solidFill>
                <a:prstDash val="solid"/>
              </a:ln>
              <a:effectLst/>
            </c:spPr>
          </c:dPt>
          <c:dPt>
            <c:idx val="4"/>
            <c:bubble3D val="0"/>
            <c:explosion val="0"/>
            <c:spPr>
              <a:solidFill>
                <a:srgbClr val="660066"/>
              </a:solidFill>
              <a:ln w="3175">
                <a:solidFill>
                  <a:srgbClr val="808080">
                    <a:alpha val="100000"/>
                  </a:srgbClr>
                </a:solidFill>
                <a:prstDash val="solid"/>
              </a:ln>
              <a:effectLst/>
            </c:spPr>
          </c:dPt>
          <c:dPt>
            <c:idx val="5"/>
            <c:bubble3D val="0"/>
            <c:explosion val="0"/>
            <c:spPr>
              <a:solidFill>
                <a:srgbClr val="FF8080"/>
              </a:solidFill>
              <a:ln w="3175">
                <a:solidFill>
                  <a:srgbClr val="808080">
                    <a:alpha val="100000"/>
                  </a:srgbClr>
                </a:solidFill>
                <a:prstDash val="solid"/>
              </a:ln>
              <a:effectLst/>
            </c:spPr>
          </c:dPt>
          <c:dLbls>
            <c:dLbl>
              <c:idx val="0"/>
              <c:layout>
                <c:manualLayout>
                  <c:x val="0.0789049131523176"/>
                  <c:y val="-0.049836950965460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delete val="1"/>
            </c:dLbl>
            <c:dLbl>
              <c:idx val="2"/>
              <c:layout>
                <c:manualLayout>
                  <c:x val="-0.0352204539525176"/>
                  <c:y val="0.17647058823529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430472214975215"/>
                  <c:y val="-0.25490196078431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49130304530516"/>
                  <c:y val="0.00092775009890774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303087065865437"/>
                  <c:y val="-0.0537795011144347"/>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[2024图表.xls]Sheet1!$A$60:$F$60</c:f>
              <c:strCache>
                <c:ptCount val="6"/>
                <c:pt idx="0">
                  <c:v>一般公共服务支出2.29万元</c:v>
                </c:pt>
                <c:pt idx="2">
                  <c:v>社会保障和就业支出249.03万元</c:v>
                </c:pt>
                <c:pt idx="3">
                  <c:v>城乡社区支出1089.87万元</c:v>
                </c:pt>
                <c:pt idx="4">
                  <c:v>住房保障支出73.18万元</c:v>
                </c:pt>
                <c:pt idx="5">
                  <c:v>卫生健康支出59.76万元</c:v>
                </c:pt>
              </c:strCache>
            </c:strRef>
          </c:cat>
          <c:val>
            <c:numRef>
              <c:f>[2024图表.xls]Sheet1!$A$61:$F$61</c:f>
              <c:numCache>
                <c:formatCode>General</c:formatCode>
                <c:ptCount val="6"/>
                <c:pt idx="0">
                  <c:v>2.29</c:v>
                </c:pt>
                <c:pt idx="2">
                  <c:v>249.03</c:v>
                </c:pt>
                <c:pt idx="3">
                  <c:v>1089.87</c:v>
                </c:pt>
                <c:pt idx="4">
                  <c:v>73.18</c:v>
                </c:pt>
                <c:pt idx="5">
                  <c:v>59.76</c:v>
                </c:pt>
              </c:numCache>
            </c:numRef>
          </c:val>
        </c:ser>
        <c:dLbls>
          <c:showLegendKey val="0"/>
          <c:showVal val="0"/>
          <c:showCatName val="0"/>
          <c:showSerName val="0"/>
          <c:showPercent val="0"/>
          <c:showBubbleSize val="0"/>
          <c:showLeaderLines val="1"/>
        </c:dLbls>
        <c:firstSliceAng val="0"/>
      </c:pieChart>
      <c:spPr>
        <a:noFill/>
        <a:ln w="12700">
          <a:noFill/>
        </a:ln>
      </c:spPr>
    </c:plotArea>
    <c:legend>
      <c:legendPos val="r"/>
      <c:legendEntry>
        <c:idx val="1"/>
        <c:delete val="1"/>
      </c:legendEntry>
      <c:layout>
        <c:manualLayout>
          <c:xMode val="edge"/>
          <c:yMode val="edge"/>
          <c:x val="0.679"/>
          <c:y val="0.05175"/>
          <c:w val="0.30525"/>
          <c:h val="0.89175"/>
        </c:manualLayout>
      </c:layout>
      <c:overlay val="0"/>
      <c:spPr>
        <a:solidFill>
          <a:srgbClr val="FFFFFF"/>
        </a:solidFill>
        <a:ln w="3175">
          <a:solidFill>
            <a:srgbClr val="000000">
              <a:alpha val="100000"/>
            </a:srgbClr>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legend>
    <c:plotVisOnly val="1"/>
    <c:dispBlanksAs val="zero"/>
    <c:showDLblsOverMax val="0"/>
  </c:chart>
  <c:spPr>
    <a:solidFill>
      <a:srgbClr val="FFFFFF"/>
    </a:solidFill>
    <a:ln w="12700"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
          <c:y val="0.11625"/>
          <c:w val="0.34625"/>
          <c:h val="0.76275"/>
        </c:manualLayout>
      </c:layout>
      <c:pieChart>
        <c:varyColors val="1"/>
        <c:ser>
          <c:idx val="0"/>
          <c:order val="0"/>
          <c:spPr>
            <a:solidFill>
              <a:srgbClr val="9999FF"/>
            </a:solidFill>
            <a:ln w="12700">
              <a:solidFill>
                <a:srgbClr val="808080">
                  <a:alpha val="100000"/>
                </a:srgbClr>
              </a:solidFill>
              <a:prstDash val="solid"/>
            </a:ln>
          </c:spPr>
          <c:explosion val="0"/>
          <c:dPt>
            <c:idx val="0"/>
            <c:bubble3D val="0"/>
            <c:explosion val="0"/>
            <c:spPr>
              <a:solidFill>
                <a:srgbClr val="9999FF"/>
              </a:solidFill>
              <a:ln w="3175">
                <a:solidFill>
                  <a:srgbClr val="808080">
                    <a:alpha val="100000"/>
                  </a:srgbClr>
                </a:solidFill>
                <a:prstDash val="solid"/>
              </a:ln>
              <a:effectLst/>
            </c:spPr>
          </c:dPt>
          <c:dPt>
            <c:idx val="1"/>
            <c:bubble3D val="0"/>
            <c:explosion val="0"/>
            <c:spPr>
              <a:solidFill>
                <a:srgbClr val="993366"/>
              </a:solidFill>
              <a:ln w="3175">
                <a:solidFill>
                  <a:srgbClr val="808080">
                    <a:alpha val="100000"/>
                  </a:srgbClr>
                </a:solidFill>
                <a:prstDash val="solid"/>
              </a:ln>
              <a:effectLst/>
            </c:spPr>
          </c:dPt>
          <c:dPt>
            <c:idx val="2"/>
            <c:bubble3D val="0"/>
            <c:explosion val="0"/>
            <c:spPr>
              <a:solidFill>
                <a:srgbClr val="FFFFCC"/>
              </a:solidFill>
              <a:ln w="3175">
                <a:solidFill>
                  <a:srgbClr val="808080">
                    <a:alpha val="100000"/>
                  </a:srgbClr>
                </a:solidFill>
                <a:prstDash val="solid"/>
              </a:ln>
              <a:effectLst/>
            </c:spPr>
          </c:dPt>
          <c:dLbls>
            <c:dLbl>
              <c:idx val="0"/>
              <c:layout>
                <c:manualLayout>
                  <c:x val="0.0468357147780099"/>
                  <c:y val="-0.022940022919369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0752824858757062"/>
                      <c:h val="0.0795518207282913"/>
                    </c:manualLayout>
                  </c15:layout>
                </c:ext>
              </c:extLst>
            </c:dLbl>
            <c:dLbl>
              <c:idx val="1"/>
              <c:layout>
                <c:manualLayout>
                  <c:x val="-0.0514232594026983"/>
                  <c:y val="-0.22978430424561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452946495570671"/>
                  <c:y val="0.1138469486002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[2024图表.xls]Sheet1!$A$46:$C$46</c:f>
              <c:strCache>
                <c:ptCount val="3"/>
                <c:pt idx="0">
                  <c:v>因公出国（境）费0万元</c:v>
                </c:pt>
                <c:pt idx="1">
                  <c:v>公务车购置及运行费5.78万元</c:v>
                </c:pt>
                <c:pt idx="2">
                  <c:v>公务接待费1.23万元</c:v>
                </c:pt>
              </c:strCache>
            </c:strRef>
          </c:cat>
          <c:val>
            <c:numRef>
              <c:f>[2024图表.xls]Sheet1!$A$47:$C$47</c:f>
              <c:numCache>
                <c:formatCode>General</c:formatCode>
                <c:ptCount val="3"/>
                <c:pt idx="0">
                  <c:v>0</c:v>
                </c:pt>
                <c:pt idx="1">
                  <c:v>5.78</c:v>
                </c:pt>
                <c:pt idx="2">
                  <c:v>1.23</c:v>
                </c:pt>
              </c:numCache>
            </c:numRef>
          </c:val>
        </c:ser>
        <c:dLbls>
          <c:showLegendKey val="0"/>
          <c:showVal val="0"/>
          <c:showCatName val="0"/>
          <c:showSerName val="0"/>
          <c:showPercent val="0"/>
          <c:showBubbleSize val="0"/>
          <c:showLeaderLines val="1"/>
        </c:dLbls>
        <c:firstSliceAng val="0"/>
      </c:pieChart>
      <c:spPr>
        <a:noFill/>
        <a:ln w="12700">
          <a:noFill/>
        </a:ln>
      </c:spPr>
    </c:plotArea>
    <c:legend>
      <c:legendPos val="r"/>
      <c:layout>
        <c:manualLayout>
          <c:xMode val="edge"/>
          <c:yMode val="edge"/>
          <c:x val="0.67075"/>
          <c:y val="0.1765"/>
          <c:w val="0.30075"/>
          <c:h val="0.4835"/>
        </c:manualLayout>
      </c:layout>
      <c:overlay val="0"/>
      <c:spPr>
        <a:solidFill>
          <a:srgbClr val="FFFFFF"/>
        </a:solidFill>
        <a:ln w="3175">
          <a:solidFill>
            <a:srgbClr val="000000">
              <a:alpha val="100000"/>
            </a:srgbClr>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Lucida Sans"/>
            </a:defRPr>
          </a:pPr>
        </a:p>
      </c:txPr>
    </c:legend>
    <c:plotVisOnly val="1"/>
    <c:dispBlanksAs val="zero"/>
    <c:showDLblsOverMax val="0"/>
  </c:chart>
  <c:spPr>
    <a:solidFill>
      <a:srgbClr val="FFFFFF"/>
    </a:solidFill>
    <a:ln w="12700"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21</Pages>
  <Words>4818</Words>
  <Characters>5256</Characters>
  <Lines>275</Lines>
  <Paragraphs>78</Paragraphs>
  <TotalTime>32</TotalTime>
  <ScaleCrop>false</ScaleCrop>
  <LinksUpToDate>false</LinksUpToDate>
  <CharactersWithSpaces>5262</CharactersWithSpaces>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2020-08-11T17:49:00Z</dcterms:created>
  <dc:creator>曹颖</dc:creator>
  <cp:lastModifiedBy>Administrator</cp:lastModifiedBy>
  <cp:lastPrinted>2025-08-09T01:34:00Z</cp:lastPrinted>
  <dcterms:modified xsi:type="dcterms:W3CDTF">2025-09-16T07:45:53Z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04787F2533EB45DC91BCDE4AB213247F</vt:lpwstr>
  </property>
</Properties>
</file>