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rPr>
          <w:rFonts w:ascii="Times New Roman" w:eastAsia="方正小标宋简体"/>
          <w:kern w:val="2"/>
          <w:sz w:val="72"/>
          <w:szCs w:val="72"/>
        </w:rPr>
      </w:pPr>
      <w:bookmarkStart w:id="0" w:name="_Toc15378441"/>
      <w:bookmarkStart w:id="1" w:name="_Toc15396597"/>
      <w:bookmarkStart w:id="2" w:name="_Toc15377425"/>
      <w:bookmarkStart w:id="3" w:name="_Toc15377193"/>
      <w:bookmarkStart w:id="4" w:name="_Toc15396475"/>
      <w:bookmarkStart w:id="5" w:name="_Toc15306267"/>
    </w:p>
    <w:p>
      <w:pPr>
        <w:pStyle w:val="2"/>
        <w:spacing w:before="93"/>
        <w:rPr>
          <w:rFonts w:ascii="Times New Roman" w:eastAsia="方正小标宋简体"/>
          <w:kern w:val="2"/>
          <w:sz w:val="72"/>
          <w:szCs w:val="72"/>
        </w:rPr>
      </w:pPr>
    </w:p>
    <w:p>
      <w:pPr>
        <w:pStyle w:val="2"/>
        <w:spacing w:before="93"/>
        <w:rPr>
          <w:rFonts w:ascii="Times New Roman" w:eastAsia="方正小标宋简体"/>
          <w:kern w:val="2"/>
          <w:sz w:val="72"/>
          <w:szCs w:val="72"/>
        </w:rPr>
      </w:pPr>
    </w:p>
    <w:p>
      <w:pPr>
        <w:pStyle w:val="2"/>
        <w:spacing w:before="93" w:line="7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2024年度</w:t>
      </w:r>
    </w:p>
    <w:p>
      <w:pPr>
        <w:pStyle w:val="2"/>
        <w:spacing w:before="93" w:line="7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攀枝花市数字化城市联动指挥中心</w:t>
      </w:r>
    </w:p>
    <w:p>
      <w:pPr>
        <w:pStyle w:val="2"/>
        <w:spacing w:before="93" w:line="7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单位决算公开文字说明</w:t>
      </w:r>
    </w:p>
    <w:p>
      <w:pPr>
        <w:pStyle w:val="2"/>
        <w:spacing w:before="93"/>
        <w:jc w:val="center"/>
        <w:rPr>
          <w:rFonts w:ascii="方正小标宋_GBK" w:hAnsi="方正小标宋_GBK" w:eastAsia="方正小标宋_GBK" w:cs="方正小标宋_GBK"/>
          <w:kern w:val="2"/>
          <w:sz w:val="44"/>
          <w:szCs w:val="44"/>
        </w:rPr>
      </w:pPr>
    </w:p>
    <w:p>
      <w:pPr>
        <w:spacing w:line="600" w:lineRule="exact"/>
        <w:jc w:val="center"/>
        <w:outlineLvl w:val="0"/>
        <w:rPr>
          <w:rFonts w:eastAsia="方正小标宋简体"/>
          <w:sz w:val="72"/>
          <w:szCs w:val="72"/>
        </w:rPr>
      </w:pPr>
    </w:p>
    <w:p>
      <w:pPr>
        <w:pStyle w:val="1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bookmarkEnd w:id="0"/>
    <w:bookmarkEnd w:id="1"/>
    <w:bookmarkEnd w:id="2"/>
    <w:bookmarkEnd w:id="3"/>
    <w:bookmarkEnd w:id="4"/>
    <w:bookmarkEnd w:id="5"/>
    <w:p>
      <w:pPr>
        <w:widowControl/>
        <w:ind w:firstLine="3360" w:firstLineChars="700"/>
        <w:rPr>
          <w:rFonts w:eastAsia="黑体" w:cstheme="minorBidi"/>
          <w:sz w:val="28"/>
          <w:szCs w:val="28"/>
        </w:rPr>
      </w:pPr>
      <w:r>
        <w:rPr>
          <w:rFonts w:hint="eastAsia" w:eastAsia="黑体"/>
          <w:sz w:val="48"/>
          <w:szCs w:val="48"/>
        </w:rPr>
        <w:t>目  录</w:t>
      </w:r>
    </w:p>
    <w:p>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年9月</w:t>
      </w:r>
      <w:r>
        <w:rPr>
          <w:rFonts w:hint="eastAsia" w:ascii="Times New Roman" w:hAnsi="Times New Roman" w:eastAsia="仿宋_GB2312" w:cs="仿宋_GB2312"/>
          <w:sz w:val="32"/>
          <w:szCs w:val="32"/>
          <w:lang w:val="en-US" w:eastAsia="zh-CN"/>
        </w:rPr>
        <w:t>16</w:t>
      </w:r>
      <w:bookmarkStart w:id="170" w:name="_GoBack"/>
      <w:bookmarkEnd w:id="170"/>
      <w:r>
        <w:rPr>
          <w:rFonts w:hint="eastAsia" w:ascii="Times New Roman" w:hAnsi="Times New Roman" w:eastAsia="仿宋_GB2312" w:cs="仿宋_GB2312"/>
          <w:sz w:val="32"/>
          <w:szCs w:val="32"/>
        </w:rPr>
        <w:t>日</w:t>
      </w:r>
    </w:p>
    <w:p/>
    <w:sdt>
      <w:sdtPr>
        <w:id w:val="89037934"/>
        <w:docPartObj>
          <w:docPartGallery w:val="Table of Contents"/>
          <w:docPartUnique/>
        </w:docPartObj>
      </w:sdtPr>
      <w:sdtEndPr>
        <w:rPr>
          <w:sz w:val="24"/>
          <w:szCs w:val="24"/>
        </w:rPr>
      </w:sdtEndPr>
      <w:sdtContent>
        <w:p>
          <w:pPr>
            <w:pStyle w:val="36"/>
            <w:tabs>
              <w:tab w:val="right" w:leader="dot" w:pos="8306"/>
            </w:tabs>
            <w:spacing w:line="360" w:lineRule="exact"/>
            <w:rPr>
              <w:sz w:val="24"/>
              <w:szCs w:val="24"/>
            </w:rPr>
          </w:pPr>
          <w:bookmarkStart w:id="6" w:name="_Toc15377196"/>
          <w:bookmarkStart w:id="7" w:name="_Toc15396599"/>
          <w:r>
            <w:fldChar w:fldCharType="begin"/>
          </w:r>
          <w:r>
            <w:instrText xml:space="preserve"> HYPERLINK \l "_Toc1582" </w:instrText>
          </w:r>
          <w:r>
            <w:fldChar w:fldCharType="separate"/>
          </w:r>
          <w:r>
            <w:rPr>
              <w:rFonts w:hint="eastAsia" w:eastAsia="方正小标宋简体" w:cs="方正小标宋简体"/>
              <w:b/>
              <w:bCs/>
              <w:sz w:val="24"/>
              <w:szCs w:val="24"/>
            </w:rPr>
            <w:t>第一部分  单位概况</w:t>
          </w:r>
          <w:r>
            <w:rPr>
              <w:b/>
              <w:bCs/>
              <w:sz w:val="24"/>
              <w:szCs w:val="24"/>
            </w:rPr>
            <w:tab/>
          </w:r>
          <w:r>
            <w:rPr>
              <w:b/>
              <w:bCs/>
              <w:sz w:val="24"/>
              <w:szCs w:val="24"/>
            </w:rPr>
            <w:t>1</w:t>
          </w:r>
          <w:r>
            <w:rPr>
              <w:b/>
              <w:bCs/>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"_Toc25538" </w:instrText>
          </w:r>
          <w:r>
            <w:fldChar w:fldCharType="separate"/>
          </w:r>
          <w:r>
            <w:rPr>
              <w:rFonts w:hint="eastAsia" w:eastAsia="黑体" w:cstheme="majorBidi"/>
              <w:sz w:val="24"/>
              <w:szCs w:val="24"/>
            </w:rPr>
            <w:t>一、单位职责</w:t>
          </w:r>
          <w:r>
            <w:rPr>
              <w:sz w:val="24"/>
              <w:szCs w:val="24"/>
            </w:rPr>
            <w:tab/>
          </w:r>
          <w:r>
            <w:rPr>
              <w:sz w:val="24"/>
              <w:szCs w:val="24"/>
            </w:rPr>
            <w:t>1</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"_Toc29396" </w:instrText>
          </w:r>
          <w:r>
            <w:fldChar w:fldCharType="separate"/>
          </w:r>
          <w:r>
            <w:rPr>
              <w:rFonts w:hint="eastAsia" w:eastAsia="黑体" w:cstheme="majorBidi"/>
              <w:sz w:val="24"/>
              <w:szCs w:val="24"/>
            </w:rPr>
            <w:t>二、机构设置</w:t>
          </w:r>
          <w:r>
            <w:rPr>
              <w:sz w:val="24"/>
              <w:szCs w:val="24"/>
            </w:rPr>
            <w:tab/>
          </w:r>
          <w:r>
            <w:rPr>
              <w:sz w:val="24"/>
              <w:szCs w:val="24"/>
            </w:rPr>
            <w:t>1</w:t>
          </w:r>
          <w:r>
            <w:rPr>
              <w:sz w:val="24"/>
              <w:szCs w:val="24"/>
            </w:rPr>
            <w:fldChar w:fldCharType="end"/>
          </w:r>
        </w:p>
        <w:p>
          <w:pPr>
            <w:pStyle w:val="36"/>
            <w:tabs>
              <w:tab w:val="right" w:leader="dot" w:pos="8306"/>
            </w:tabs>
            <w:spacing w:line="360" w:lineRule="exact"/>
            <w:rPr>
              <w:sz w:val="24"/>
              <w:szCs w:val="24"/>
            </w:rPr>
          </w:pPr>
          <w:r>
            <w:fldChar w:fldCharType="begin"/>
          </w:r>
          <w:r>
            <w:instrText xml:space="preserve"> HYPERLINK \l "_Toc12752" </w:instrText>
          </w:r>
          <w:r>
            <w:fldChar w:fldCharType="separate"/>
          </w:r>
          <w:r>
            <w:rPr>
              <w:rFonts w:hint="eastAsia" w:eastAsia="方正小标宋简体" w:cs="方正小标宋简体"/>
              <w:b/>
              <w:bCs/>
              <w:sz w:val="24"/>
              <w:szCs w:val="24"/>
            </w:rPr>
            <w:t>第二部分  2024年度单位决算情况说明</w:t>
          </w:r>
          <w:r>
            <w:rPr>
              <w:b/>
              <w:bCs/>
              <w:sz w:val="24"/>
              <w:szCs w:val="24"/>
            </w:rPr>
            <w:tab/>
          </w:r>
          <w:r>
            <w:rPr>
              <w:b/>
              <w:bCs/>
              <w:sz w:val="24"/>
              <w:szCs w:val="24"/>
            </w:rPr>
            <w:t>2</w:t>
          </w:r>
          <w:r>
            <w:rPr>
              <w:b/>
              <w:bCs/>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"_Toc17455" </w:instrText>
          </w:r>
          <w:r>
            <w:fldChar w:fldCharType="separate"/>
          </w:r>
          <w:r>
            <w:rPr>
              <w:rFonts w:hint="eastAsia" w:eastAsia="黑体"/>
              <w:sz w:val="24"/>
              <w:szCs w:val="24"/>
            </w:rPr>
            <w:t>一、收</w:t>
          </w:r>
          <w:r>
            <w:rPr>
              <w:rFonts w:hint="eastAsia" w:eastAsia="黑体" w:cstheme="majorBidi"/>
              <w:sz w:val="24"/>
              <w:szCs w:val="24"/>
            </w:rPr>
            <w:t>入支出决算总体情况说明</w:t>
          </w:r>
          <w:r>
            <w:rPr>
              <w:sz w:val="24"/>
              <w:szCs w:val="24"/>
            </w:rPr>
            <w:tab/>
          </w:r>
          <w:r>
            <w:rPr>
              <w:sz w:val="24"/>
              <w:szCs w:val="24"/>
            </w:rPr>
            <w:t>2</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"_Toc9034" </w:instrText>
          </w:r>
          <w:r>
            <w:fldChar w:fldCharType="separate"/>
          </w:r>
          <w:r>
            <w:rPr>
              <w:rFonts w:hint="eastAsia" w:eastAsia="黑体"/>
              <w:sz w:val="24"/>
              <w:szCs w:val="24"/>
            </w:rPr>
            <w:t>二、收入决算情况说明</w:t>
          </w:r>
          <w:r>
            <w:rPr>
              <w:sz w:val="24"/>
              <w:szCs w:val="24"/>
            </w:rPr>
            <w:tab/>
          </w:r>
          <w:r>
            <w:rPr>
              <w:sz w:val="24"/>
              <w:szCs w:val="24"/>
            </w:rPr>
            <w:t>2</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"_Toc30407" </w:instrText>
          </w:r>
          <w:r>
            <w:fldChar w:fldCharType="separate"/>
          </w:r>
          <w:r>
            <w:rPr>
              <w:rFonts w:hint="eastAsia" w:eastAsia="黑体"/>
              <w:sz w:val="24"/>
              <w:szCs w:val="24"/>
            </w:rPr>
            <w:t>三、支</w:t>
          </w:r>
          <w:r>
            <w:rPr>
              <w:rFonts w:hint="eastAsia" w:eastAsia="黑体" w:cstheme="majorBidi"/>
              <w:sz w:val="24"/>
              <w:szCs w:val="24"/>
            </w:rPr>
            <w:t>出决算情况说明</w:t>
          </w:r>
          <w:r>
            <w:rPr>
              <w:sz w:val="24"/>
              <w:szCs w:val="24"/>
            </w:rPr>
            <w:tab/>
          </w:r>
          <w:r>
            <w:rPr>
              <w:sz w:val="24"/>
              <w:szCs w:val="24"/>
            </w:rPr>
            <w:t>3</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"_Toc20373" </w:instrText>
          </w:r>
          <w:r>
            <w:fldChar w:fldCharType="separate"/>
          </w:r>
          <w:r>
            <w:rPr>
              <w:rFonts w:hint="eastAsia" w:eastAsia="黑体"/>
              <w:sz w:val="24"/>
              <w:szCs w:val="24"/>
            </w:rPr>
            <w:t>四、财</w:t>
          </w:r>
          <w:r>
            <w:rPr>
              <w:rFonts w:hint="eastAsia" w:eastAsia="黑体" w:cstheme="majorBidi"/>
              <w:sz w:val="24"/>
              <w:szCs w:val="24"/>
            </w:rPr>
            <w:t>政拨款收入支出决算总体情况说明</w:t>
          </w:r>
          <w:r>
            <w:rPr>
              <w:sz w:val="24"/>
              <w:szCs w:val="24"/>
            </w:rPr>
            <w:tab/>
          </w:r>
          <w:r>
            <w:rPr>
              <w:rFonts w:hint="eastAsia"/>
              <w:sz w:val="24"/>
              <w:szCs w:val="24"/>
            </w:rPr>
            <w:t>4</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"_Toc6727" </w:instrText>
          </w:r>
          <w:r>
            <w:fldChar w:fldCharType="separate"/>
          </w:r>
          <w:r>
            <w:rPr>
              <w:rFonts w:hint="eastAsia" w:eastAsia="黑体"/>
              <w:sz w:val="24"/>
              <w:szCs w:val="24"/>
            </w:rPr>
            <w:t>五、一</w:t>
          </w:r>
          <w:r>
            <w:rPr>
              <w:rFonts w:hint="eastAsia" w:eastAsia="黑体" w:cstheme="majorBidi"/>
              <w:sz w:val="24"/>
              <w:szCs w:val="24"/>
            </w:rPr>
            <w:t>般公共预算财政拨款支出决算情况说明</w:t>
          </w:r>
          <w:r>
            <w:rPr>
              <w:sz w:val="24"/>
              <w:szCs w:val="24"/>
            </w:rPr>
            <w:tab/>
          </w:r>
          <w:r>
            <w:rPr>
              <w:sz w:val="24"/>
              <w:szCs w:val="24"/>
            </w:rPr>
            <w:t>4</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"_Toc3599" </w:instrText>
          </w:r>
          <w:r>
            <w:fldChar w:fldCharType="separate"/>
          </w:r>
          <w:r>
            <w:rPr>
              <w:rFonts w:hint="eastAsia" w:eastAsia="黑体"/>
              <w:sz w:val="24"/>
              <w:szCs w:val="24"/>
            </w:rPr>
            <w:t>六、一</w:t>
          </w:r>
          <w:r>
            <w:rPr>
              <w:rFonts w:hint="eastAsia" w:eastAsia="黑体" w:cstheme="majorBidi"/>
              <w:sz w:val="24"/>
              <w:szCs w:val="24"/>
            </w:rPr>
            <w:t>般公共预算财政拨款基本支出决算情况说明</w:t>
          </w:r>
          <w:r>
            <w:rPr>
              <w:sz w:val="24"/>
              <w:szCs w:val="24"/>
            </w:rPr>
            <w:tab/>
          </w:r>
          <w:r>
            <w:rPr>
              <w:sz w:val="24"/>
              <w:szCs w:val="24"/>
            </w:rPr>
            <w:t>6</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"_Toc32139" </w:instrText>
          </w:r>
          <w:r>
            <w:fldChar w:fldCharType="separate"/>
          </w:r>
          <w:r>
            <w:rPr>
              <w:rFonts w:hint="eastAsia" w:eastAsia="黑体"/>
              <w:sz w:val="24"/>
              <w:szCs w:val="24"/>
            </w:rPr>
            <w:t>七、</w:t>
          </w:r>
          <w:r>
            <w:rPr>
              <w:rFonts w:hint="eastAsia" w:eastAsia="黑体" w:cstheme="majorBidi"/>
              <w:sz w:val="24"/>
              <w:szCs w:val="24"/>
            </w:rPr>
            <w:t>财政拨款“三公”经费支出决算情况说明</w:t>
          </w:r>
          <w:r>
            <w:rPr>
              <w:sz w:val="24"/>
              <w:szCs w:val="24"/>
            </w:rPr>
            <w:tab/>
          </w:r>
          <w:r>
            <w:rPr>
              <w:sz w:val="24"/>
              <w:szCs w:val="24"/>
            </w:rPr>
            <w:t>6</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"_Toc15181" </w:instrText>
          </w:r>
          <w:r>
            <w:fldChar w:fldCharType="separate"/>
          </w:r>
          <w:r>
            <w:rPr>
              <w:rFonts w:hint="eastAsia" w:eastAsia="黑体"/>
              <w:sz w:val="24"/>
              <w:szCs w:val="24"/>
            </w:rPr>
            <w:t>八、</w:t>
          </w:r>
          <w:r>
            <w:rPr>
              <w:rFonts w:hint="eastAsia" w:eastAsia="黑体" w:cstheme="majorBidi"/>
              <w:sz w:val="24"/>
              <w:szCs w:val="24"/>
            </w:rPr>
            <w:t>政府性基金预算支出决算情况说明</w:t>
          </w:r>
          <w:r>
            <w:rPr>
              <w:sz w:val="24"/>
              <w:szCs w:val="24"/>
            </w:rPr>
            <w:tab/>
          </w:r>
          <w:r>
            <w:rPr>
              <w:sz w:val="24"/>
              <w:szCs w:val="24"/>
            </w:rPr>
            <w:t>8</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"_Toc22357" </w:instrText>
          </w:r>
          <w:r>
            <w:fldChar w:fldCharType="separate"/>
          </w:r>
          <w:r>
            <w:rPr>
              <w:rFonts w:hint="eastAsia" w:eastAsia="黑体" w:cstheme="majorBidi"/>
              <w:sz w:val="24"/>
              <w:szCs w:val="24"/>
            </w:rPr>
            <w:t>九、国有资本经营预算支出决算情况说明</w:t>
          </w:r>
          <w:r>
            <w:rPr>
              <w:sz w:val="24"/>
              <w:szCs w:val="24"/>
            </w:rPr>
            <w:tab/>
          </w:r>
          <w:r>
            <w:rPr>
              <w:sz w:val="24"/>
              <w:szCs w:val="24"/>
            </w:rPr>
            <w:t>8</w:t>
          </w:r>
          <w:r>
            <w:rPr>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"_Toc21891" </w:instrText>
          </w:r>
          <w:r>
            <w:fldChar w:fldCharType="separate"/>
          </w:r>
          <w:r>
            <w:rPr>
              <w:rFonts w:hint="eastAsia" w:eastAsia="黑体" w:cstheme="majorBidi"/>
              <w:sz w:val="24"/>
              <w:szCs w:val="24"/>
            </w:rPr>
            <w:t>十、其他重要事项的情况说明</w:t>
          </w:r>
          <w:r>
            <w:rPr>
              <w:sz w:val="24"/>
              <w:szCs w:val="24"/>
            </w:rPr>
            <w:tab/>
          </w:r>
          <w:r>
            <w:rPr>
              <w:rFonts w:hint="eastAsia"/>
              <w:sz w:val="24"/>
              <w:szCs w:val="24"/>
            </w:rPr>
            <w:t>9</w:t>
          </w:r>
          <w:r>
            <w:rPr>
              <w:rFonts w:hint="eastAsia"/>
              <w:sz w:val="24"/>
              <w:szCs w:val="24"/>
            </w:rPr>
            <w:fldChar w:fldCharType="end"/>
          </w:r>
        </w:p>
        <w:p>
          <w:pPr>
            <w:pStyle w:val="36"/>
            <w:tabs>
              <w:tab w:val="right" w:leader="dot" w:pos="8306"/>
            </w:tabs>
            <w:spacing w:line="360" w:lineRule="exact"/>
            <w:rPr>
              <w:sz w:val="24"/>
              <w:szCs w:val="24"/>
            </w:rPr>
          </w:pPr>
          <w:r>
            <w:fldChar w:fldCharType="begin"/>
          </w:r>
          <w:r>
            <w:instrText xml:space="preserve"> HYPERLINK \l "_Toc11677" </w:instrText>
          </w:r>
          <w:r>
            <w:fldChar w:fldCharType="separate"/>
          </w:r>
          <w:r>
            <w:rPr>
              <w:rFonts w:hint="eastAsia" w:eastAsia="黑体"/>
              <w:b/>
              <w:bCs/>
              <w:sz w:val="24"/>
              <w:szCs w:val="24"/>
            </w:rPr>
            <w:t>第三部分  名词解释</w:t>
          </w:r>
          <w:r>
            <w:rPr>
              <w:b/>
              <w:bCs/>
              <w:sz w:val="24"/>
              <w:szCs w:val="24"/>
            </w:rPr>
            <w:tab/>
          </w:r>
          <w:r>
            <w:rPr>
              <w:b/>
              <w:bCs/>
              <w:sz w:val="24"/>
              <w:szCs w:val="24"/>
            </w:rPr>
            <w:t>1</w:t>
          </w:r>
          <w:r>
            <w:rPr>
              <w:rFonts w:hint="eastAsia"/>
              <w:b/>
              <w:bCs/>
              <w:sz w:val="24"/>
              <w:szCs w:val="24"/>
            </w:rPr>
            <w:t>0</w:t>
          </w:r>
          <w:r>
            <w:rPr>
              <w:rFonts w:hint="eastAsia"/>
              <w:b/>
              <w:bCs/>
              <w:sz w:val="24"/>
              <w:szCs w:val="24"/>
            </w:rPr>
            <w:fldChar w:fldCharType="end"/>
          </w:r>
        </w:p>
        <w:p>
          <w:pPr>
            <w:pStyle w:val="36"/>
            <w:tabs>
              <w:tab w:val="right" w:leader="dot" w:pos="8306"/>
            </w:tabs>
            <w:spacing w:line="360" w:lineRule="exact"/>
            <w:rPr>
              <w:sz w:val="24"/>
              <w:szCs w:val="24"/>
            </w:rPr>
          </w:pPr>
          <w:r>
            <w:fldChar w:fldCharType="begin"/>
          </w:r>
          <w:r>
            <w:instrText xml:space="preserve"> HYPERLINK \l "_Toc4366" </w:instrText>
          </w:r>
          <w:r>
            <w:fldChar w:fldCharType="separate"/>
          </w:r>
          <w:r>
            <w:rPr>
              <w:rFonts w:hint="eastAsia" w:eastAsia="黑体"/>
              <w:b/>
              <w:bCs/>
              <w:sz w:val="24"/>
              <w:szCs w:val="24"/>
            </w:rPr>
            <w:t>第四部分  附件</w:t>
          </w:r>
          <w:r>
            <w:rPr>
              <w:b/>
              <w:bCs/>
              <w:sz w:val="24"/>
              <w:szCs w:val="24"/>
            </w:rPr>
            <w:tab/>
          </w:r>
          <w:r>
            <w:rPr>
              <w:b/>
              <w:bCs/>
              <w:sz w:val="24"/>
              <w:szCs w:val="24"/>
            </w:rPr>
            <w:t>1</w:t>
          </w:r>
          <w:r>
            <w:rPr>
              <w:rFonts w:hint="eastAsia"/>
              <w:b/>
              <w:bCs/>
              <w:sz w:val="24"/>
              <w:szCs w:val="24"/>
            </w:rPr>
            <w:t>2</w:t>
          </w:r>
          <w:r>
            <w:rPr>
              <w:rFonts w:hint="eastAsia"/>
              <w:b/>
              <w:bCs/>
              <w:sz w:val="24"/>
              <w:szCs w:val="24"/>
            </w:rPr>
            <w:fldChar w:fldCharType="end"/>
          </w:r>
        </w:p>
        <w:p>
          <w:pPr>
            <w:pStyle w:val="36"/>
            <w:tabs>
              <w:tab w:val="right" w:leader="dot" w:pos="8306"/>
            </w:tabs>
            <w:spacing w:line="360" w:lineRule="exact"/>
            <w:rPr>
              <w:sz w:val="24"/>
              <w:szCs w:val="24"/>
            </w:rPr>
          </w:pPr>
          <w:r>
            <w:fldChar w:fldCharType="begin"/>
          </w:r>
          <w:r>
            <w:instrText xml:space="preserve"> HYPERLINK \l "_Toc14443" </w:instrText>
          </w:r>
          <w:r>
            <w:fldChar w:fldCharType="separate"/>
          </w:r>
          <w:r>
            <w:rPr>
              <w:rFonts w:hint="eastAsia" w:eastAsia="黑体"/>
              <w:b/>
              <w:bCs/>
              <w:sz w:val="24"/>
              <w:szCs w:val="24"/>
            </w:rPr>
            <w:t>第五部分 附表</w:t>
          </w:r>
          <w:r>
            <w:rPr>
              <w:b/>
              <w:bCs/>
              <w:sz w:val="24"/>
              <w:szCs w:val="24"/>
            </w:rPr>
            <w:tab/>
          </w:r>
          <w:r>
            <w:rPr>
              <w:b/>
              <w:bCs/>
              <w:sz w:val="24"/>
              <w:szCs w:val="24"/>
            </w:rPr>
            <w:t>1</w:t>
          </w:r>
          <w:r>
            <w:rPr>
              <w:rFonts w:hint="eastAsia"/>
              <w:b/>
              <w:bCs/>
              <w:sz w:val="24"/>
              <w:szCs w:val="24"/>
            </w:rPr>
            <w:t>3</w:t>
          </w:r>
          <w:r>
            <w:rPr>
              <w:rFonts w:hint="eastAsia"/>
              <w:b/>
              <w:bCs/>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"_Toc20089" </w:instrText>
          </w:r>
          <w:r>
            <w:fldChar w:fldCharType="separate"/>
          </w:r>
          <w:r>
            <w:rPr>
              <w:rFonts w:hint="eastAsia" w:eastAsia="仿宋_GB2312" w:cs="仿宋_GB2312"/>
              <w:sz w:val="24"/>
              <w:szCs w:val="24"/>
            </w:rPr>
            <w:t>一、收入支出决算总表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"_Toc9297" </w:instrText>
          </w:r>
          <w:r>
            <w:fldChar w:fldCharType="separate"/>
          </w:r>
          <w:r>
            <w:rPr>
              <w:rFonts w:hint="eastAsia" w:eastAsia="仿宋_GB2312" w:cs="仿宋_GB2312"/>
              <w:sz w:val="24"/>
              <w:szCs w:val="24"/>
            </w:rPr>
            <w:t>二、收入决算表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"_Toc25969" </w:instrText>
          </w:r>
          <w:r>
            <w:fldChar w:fldCharType="separate"/>
          </w:r>
          <w:r>
            <w:rPr>
              <w:rFonts w:hint="eastAsia" w:eastAsia="仿宋_GB2312" w:cs="仿宋_GB2312"/>
              <w:sz w:val="24"/>
              <w:szCs w:val="24"/>
            </w:rPr>
            <w:t>三、支出决算表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"_Toc31243" </w:instrText>
          </w:r>
          <w:r>
            <w:fldChar w:fldCharType="separate"/>
          </w:r>
          <w:r>
            <w:rPr>
              <w:rFonts w:hint="eastAsia" w:eastAsia="仿宋_GB2312" w:cs="仿宋_GB2312"/>
              <w:sz w:val="24"/>
              <w:szCs w:val="24"/>
            </w:rPr>
            <w:t>四、财政拨款收入支出决算总表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pPr>
          <w:r>
            <w:fldChar w:fldCharType="begin"/>
          </w:r>
          <w:r>
            <w:instrText xml:space="preserve"> HYPERLINK \l "_Toc5247" </w:instrText>
          </w:r>
          <w:r>
            <w:fldChar w:fldCharType="separate"/>
          </w:r>
          <w:r>
            <w:rPr>
              <w:rFonts w:hint="eastAsia" w:eastAsia="仿宋_GB2312" w:cs="仿宋_GB2312"/>
              <w:sz w:val="24"/>
              <w:szCs w:val="24"/>
            </w:rPr>
            <w:t>五、财政拨款支出决算明细表</w:t>
          </w:r>
          <w:r>
            <w:rPr>
              <w:sz w:val="24"/>
              <w:szCs w:val="24"/>
            </w:rPr>
            <w:tab/>
          </w:r>
          <w:r>
            <w:rPr>
              <w:sz w:val="24"/>
              <w:szCs w:val="24"/>
            </w:rPr>
            <w:t>1</w:t>
          </w:r>
          <w:r>
            <w:rPr>
              <w:sz w:val="24"/>
              <w:szCs w:val="24"/>
            </w:rPr>
            <w:fldChar w:fldCharType="end"/>
          </w:r>
          <w:r>
            <w:rPr>
              <w:rFonts w:hint="eastAsia"/>
              <w:sz w:val="24"/>
              <w:szCs w:val="24"/>
            </w:rPr>
            <w:t>3</w:t>
          </w:r>
        </w:p>
        <w:p>
          <w:pPr>
            <w:pStyle w:val="37"/>
            <w:tabs>
              <w:tab w:val="right" w:leader="dot" w:pos="8306"/>
            </w:tabs>
            <w:spacing w:line="360" w:lineRule="exact"/>
            <w:ind w:left="420"/>
            <w:rPr>
              <w:sz w:val="24"/>
              <w:szCs w:val="24"/>
            </w:rPr>
          </w:pPr>
          <w:r>
            <w:fldChar w:fldCharType="begin"/>
          </w:r>
          <w:r>
            <w:instrText xml:space="preserve"> HYPERLINK \l "_Toc23502" </w:instrText>
          </w:r>
          <w:r>
            <w:fldChar w:fldCharType="separate"/>
          </w:r>
          <w:r>
            <w:rPr>
              <w:rFonts w:hint="eastAsia" w:eastAsia="仿宋_GB2312" w:cs="仿宋_GB2312"/>
              <w:sz w:val="24"/>
              <w:szCs w:val="24"/>
            </w:rPr>
            <w:t>六、一般公共预算财政拨款支出决算表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"_Toc9099" </w:instrText>
          </w:r>
          <w:r>
            <w:fldChar w:fldCharType="separate"/>
          </w:r>
          <w:r>
            <w:rPr>
              <w:rFonts w:hint="eastAsia" w:eastAsia="仿宋_GB2312" w:cs="仿宋_GB2312"/>
              <w:sz w:val="24"/>
              <w:szCs w:val="24"/>
            </w:rPr>
            <w:t>七、一般公共预算财政拨款支出决算明细表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"_Toc3654" </w:instrText>
          </w:r>
          <w:r>
            <w:fldChar w:fldCharType="separate"/>
          </w:r>
          <w:r>
            <w:rPr>
              <w:rFonts w:hint="eastAsia" w:eastAsia="仿宋_GB2312" w:cs="仿宋_GB2312"/>
              <w:sz w:val="24"/>
              <w:szCs w:val="24"/>
            </w:rPr>
            <w:t>八、一般公共预算财政拨款基本支出决算表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"_Toc30574" </w:instrText>
          </w:r>
          <w:r>
            <w:fldChar w:fldCharType="separate"/>
          </w:r>
          <w:r>
            <w:rPr>
              <w:rFonts w:hint="eastAsia" w:eastAsia="仿宋_GB2312" w:cs="仿宋_GB2312"/>
              <w:sz w:val="24"/>
              <w:szCs w:val="24"/>
            </w:rPr>
            <w:t>九、一般公共预算财政拨款项目支出决算表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"_Toc12890" </w:instrText>
          </w:r>
          <w:r>
            <w:fldChar w:fldCharType="separate"/>
          </w:r>
          <w:r>
            <w:rPr>
              <w:rFonts w:hint="eastAsia" w:eastAsia="仿宋_GB2312" w:cs="仿宋_GB2312"/>
              <w:sz w:val="24"/>
              <w:szCs w:val="24"/>
            </w:rPr>
            <w:t>十、政府性基金预算财政拨款收入支出决算表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"_Toc1823" </w:instrText>
          </w:r>
          <w:r>
            <w:fldChar w:fldCharType="separate"/>
          </w:r>
          <w:r>
            <w:rPr>
              <w:rFonts w:hint="eastAsia" w:eastAsia="仿宋_GB2312" w:cs="仿宋_GB2312"/>
              <w:sz w:val="24"/>
              <w:szCs w:val="24"/>
            </w:rPr>
            <w:t>十一、国有资本经营预算财政拨款收入支出决算表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"_Toc32294" </w:instrText>
          </w:r>
          <w:r>
            <w:fldChar w:fldCharType="separate"/>
          </w:r>
          <w:r>
            <w:rPr>
              <w:rFonts w:hint="eastAsia" w:eastAsia="仿宋_GB2312" w:cs="仿宋_GB2312"/>
              <w:sz w:val="24"/>
              <w:szCs w:val="24"/>
            </w:rPr>
            <w:t>十二、国有资本经营预算财政拨款支出决算表</w:t>
          </w:r>
          <w:r>
            <w:rPr>
              <w:sz w:val="24"/>
              <w:szCs w:val="24"/>
            </w:rPr>
            <w:tab/>
          </w:r>
          <w:r>
            <w:rPr>
              <w:sz w:val="24"/>
              <w:szCs w:val="24"/>
            </w:rPr>
            <w:t>1</w:t>
          </w:r>
          <w:r>
            <w:rPr>
              <w:rFonts w:hint="eastAsia"/>
              <w:sz w:val="24"/>
              <w:szCs w:val="24"/>
            </w:rPr>
            <w:t>3</w:t>
          </w:r>
          <w:r>
            <w:rPr>
              <w:rFonts w:hint="eastAsia"/>
              <w:sz w:val="24"/>
              <w:szCs w:val="24"/>
            </w:rPr>
            <w:fldChar w:fldCharType="end"/>
          </w:r>
        </w:p>
        <w:p>
          <w:pPr>
            <w:pStyle w:val="37"/>
            <w:tabs>
              <w:tab w:val="right" w:leader="dot" w:pos="8306"/>
            </w:tabs>
            <w:spacing w:line="360" w:lineRule="exact"/>
            <w:ind w:left="420"/>
            <w:rPr>
              <w:sz w:val="24"/>
              <w:szCs w:val="24"/>
            </w:rPr>
          </w:pPr>
          <w:r>
            <w:fldChar w:fldCharType="begin"/>
          </w:r>
          <w:r>
            <w:instrText xml:space="preserve"> HYPERLINK \l "_Toc26431" </w:instrText>
          </w:r>
          <w:r>
            <w:fldChar w:fldCharType="separate"/>
          </w:r>
          <w:r>
            <w:rPr>
              <w:rFonts w:hint="eastAsia" w:eastAsia="仿宋_GB2312" w:cs="仿宋_GB2312"/>
              <w:sz w:val="24"/>
              <w:szCs w:val="24"/>
            </w:rPr>
            <w:t>十三、财政拨款“三公”经费支出决算表</w:t>
          </w:r>
          <w:r>
            <w:rPr>
              <w:sz w:val="24"/>
              <w:szCs w:val="24"/>
            </w:rPr>
            <w:tab/>
          </w:r>
          <w:r>
            <w:rPr>
              <w:sz w:val="24"/>
              <w:szCs w:val="24"/>
            </w:rPr>
            <w:t>1</w:t>
          </w:r>
          <w:r>
            <w:rPr>
              <w:rFonts w:hint="eastAsia"/>
              <w:sz w:val="24"/>
              <w:szCs w:val="24"/>
            </w:rPr>
            <w:t>3</w:t>
          </w:r>
          <w:r>
            <w:rPr>
              <w:rFonts w:hint="eastAsia"/>
              <w:sz w:val="24"/>
              <w:szCs w:val="24"/>
            </w:rPr>
            <w:fldChar w:fldCharType="end"/>
          </w:r>
        </w:p>
      </w:sdtContent>
    </w:sdt>
    <w:p>
      <w:pPr>
        <w:pStyle w:val="3"/>
        <w:rPr>
          <w:rFonts w:eastAsia="方正小标宋简体" w:cs="方正小标宋简体"/>
          <w:b w:val="0"/>
        </w:rPr>
        <w:sectPr>
          <w:footerReference r:id="rId6" w:type="first"/>
          <w:footerReference r:id="rId5" w:type="default"/>
          <w:pgSz w:w="11906" w:h="16838"/>
          <w:pgMar w:top="1440" w:right="1800" w:bottom="1440" w:left="1800" w:header="851" w:footer="992" w:gutter="0"/>
          <w:pgNumType w:fmt="numberInDash" w:start="1"/>
          <w:cols w:space="425" w:num="1"/>
          <w:docGrid w:type="lines" w:linePitch="312" w:charSpace="0"/>
        </w:sectPr>
      </w:pPr>
    </w:p>
    <w:p>
      <w:pPr>
        <w:pStyle w:val="3"/>
        <w:jc w:val="center"/>
        <w:rPr>
          <w:rFonts w:eastAsia="黑体"/>
          <w:sz w:val="32"/>
          <w:szCs w:val="32"/>
        </w:rPr>
      </w:pPr>
      <w:bookmarkStart w:id="8" w:name="_Toc748"/>
      <w:bookmarkStart w:id="9" w:name="_Toc208822957"/>
      <w:bookmarkStart w:id="10" w:name="_Toc11066"/>
      <w:r>
        <w:rPr>
          <w:rFonts w:hint="eastAsia" w:eastAsia="方正小标宋简体" w:cs="方正小标宋简体"/>
          <w:b w:val="0"/>
        </w:rPr>
        <w:t>第一部分  单位</w:t>
      </w:r>
      <w:r>
        <w:rPr>
          <w:rStyle w:val="28"/>
          <w:rFonts w:hint="eastAsia" w:eastAsia="方正小标宋简体" w:cs="方正小标宋简体"/>
          <w:b w:val="0"/>
          <w:bCs w:val="0"/>
        </w:rPr>
        <w:t>概况</w:t>
      </w:r>
      <w:bookmarkEnd w:id="6"/>
      <w:bookmarkEnd w:id="7"/>
      <w:bookmarkEnd w:id="8"/>
      <w:bookmarkEnd w:id="9"/>
      <w:bookmarkEnd w:id="10"/>
    </w:p>
    <w:p>
      <w:pPr>
        <w:pStyle w:val="4"/>
        <w:numPr>
          <w:ilvl w:val="0"/>
          <w:numId w:val="1"/>
        </w:numPr>
        <w:spacing w:before="0" w:after="0" w:line="600" w:lineRule="exact"/>
        <w:ind w:firstLine="640" w:firstLineChars="200"/>
        <w:rPr>
          <w:rFonts w:ascii="Times New Roman" w:hAnsi="Times New Roman" w:eastAsia="黑体"/>
          <w:b w:val="0"/>
        </w:rPr>
      </w:pPr>
      <w:bookmarkStart w:id="11" w:name="_Toc208822958"/>
      <w:bookmarkStart w:id="12" w:name="_Toc15249"/>
      <w:bookmarkStart w:id="13" w:name="_Toc3328"/>
      <w:r>
        <w:rPr>
          <w:rFonts w:hint="eastAsia" w:ascii="Times New Roman" w:hAnsi="Times New Roman" w:eastAsia="黑体"/>
          <w:b w:val="0"/>
        </w:rPr>
        <w:t>单位职责</w:t>
      </w:r>
      <w:bookmarkEnd w:id="11"/>
      <w:bookmarkEnd w:id="12"/>
      <w:bookmarkEnd w:id="13"/>
    </w:p>
    <w:p>
      <w:pPr>
        <w:pStyle w:val="2"/>
        <w:adjustRightInd w:val="0"/>
        <w:spacing w:beforeLines="0" w:line="600" w:lineRule="exact"/>
        <w:ind w:firstLine="640" w:firstLineChars="200"/>
      </w:pPr>
      <w:r>
        <w:rPr>
          <w:rFonts w:hint="eastAsia" w:hAnsi="仿宋_GB2312" w:cs="仿宋_GB2312"/>
          <w:sz w:val="32"/>
        </w:rPr>
        <w:t>根据《中共攀枝花市委机构编制委员会关于明确市城管执法局所属事业单位有关机构编制事项的通知》（攀编发〔2019〕26号）文件精神，将市数字化城市监督指挥中心与市市民热线受理中心整合，设立攀枝花市数字化城市联动指挥中心，加挂“攀枝花市12345智慧民生政务热线运行中心”牌子，为市城管执法局所属公益一类事业单位。主要职责：负责全市数字（智慧）城管、12345热线的运行管理、技保、考核评价；负责采集、派遣、督办城市问题；开展综合民生政务热线服务，推动民生政务服务资源优化配置。</w:t>
      </w:r>
    </w:p>
    <w:p>
      <w:pPr>
        <w:pStyle w:val="4"/>
        <w:spacing w:before="0" w:after="0" w:line="600" w:lineRule="exact"/>
        <w:ind w:firstLine="640" w:firstLineChars="200"/>
        <w:rPr>
          <w:rStyle w:val="29"/>
          <w:rFonts w:ascii="Times New Roman" w:hAnsi="Times New Roman"/>
          <w:b w:val="0"/>
          <w:bCs w:val="0"/>
        </w:rPr>
      </w:pPr>
      <w:bookmarkStart w:id="14" w:name="_Toc14299"/>
      <w:bookmarkStart w:id="15" w:name="_Toc18678"/>
      <w:bookmarkStart w:id="16" w:name="_Toc15396601"/>
      <w:bookmarkStart w:id="17" w:name="_Toc208822959"/>
      <w:bookmarkStart w:id="18" w:name="_Toc15377200"/>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4"/>
      <w:bookmarkEnd w:id="15"/>
      <w:bookmarkEnd w:id="16"/>
      <w:bookmarkEnd w:id="17"/>
      <w:bookmarkEnd w:id="18"/>
    </w:p>
    <w:p>
      <w:pPr>
        <w:pStyle w:val="2"/>
        <w:adjustRightInd w:val="0"/>
        <w:spacing w:beforeLines="0" w:line="600" w:lineRule="exact"/>
        <w:ind w:firstLine="640" w:firstLineChars="200"/>
        <w:rPr>
          <w:rFonts w:hAnsi="仿宋_GB2312" w:cs="仿宋_GB2312"/>
          <w:sz w:val="32"/>
          <w:szCs w:val="22"/>
        </w:rPr>
      </w:pPr>
      <w:r>
        <w:rPr>
          <w:rFonts w:hint="eastAsia" w:hAnsi="仿宋_GB2312" w:cs="仿宋_GB2312"/>
          <w:sz w:val="32"/>
          <w:szCs w:val="22"/>
        </w:rPr>
        <w:t>攀枝花市数字化城市联动指挥中心属于攀枝花市城市管理行政执法局下属的二级预算单位，下设独立编制机构1个，其中行政机构0个，参照公务员法管理的事业机构0个，其他事业机构1个。</w:t>
      </w:r>
    </w:p>
    <w:p>
      <w:pPr>
        <w:pStyle w:val="2"/>
        <w:adjustRightInd w:val="0"/>
        <w:snapToGrid w:val="0"/>
        <w:spacing w:beforeLines="0" w:line="600" w:lineRule="exact"/>
        <w:ind w:firstLine="640" w:firstLineChars="200"/>
        <w:rPr>
          <w:rFonts w:ascii="Times New Roman" w:cs="仿宋_GB2312"/>
          <w:sz w:val="32"/>
          <w:szCs w:val="32"/>
        </w:rPr>
      </w:pPr>
      <w:r>
        <w:rPr>
          <w:rFonts w:hint="eastAsia" w:ascii="Times New Roman" w:cs="仿宋_GB2312"/>
          <w:sz w:val="32"/>
          <w:szCs w:val="32"/>
        </w:rPr>
        <w:t>纳入</w:t>
      </w:r>
      <w:r>
        <w:rPr>
          <w:sz w:val="32"/>
          <w:szCs w:val="32"/>
        </w:rPr>
        <w:t>攀枝花市数字化城市联动指挥中心</w:t>
      </w:r>
      <w:r>
        <w:rPr>
          <w:rFonts w:hint="eastAsia" w:ascii="Times New Roman" w:cs="仿宋_GB2312"/>
          <w:sz w:val="32"/>
          <w:szCs w:val="32"/>
        </w:rPr>
        <w:t>2024年度部门决算编制范围的二级预算单位包括：</w:t>
      </w:r>
    </w:p>
    <w:p>
      <w:pPr>
        <w:pStyle w:val="2"/>
        <w:adjustRightInd w:val="0"/>
        <w:snapToGrid w:val="0"/>
        <w:spacing w:beforeLines="0" w:line="600" w:lineRule="exact"/>
        <w:ind w:left="420" w:leftChars="200"/>
        <w:outlineLvl w:val="2"/>
        <w:rPr>
          <w:rFonts w:ascii="Times New Roman" w:cs="仿宋_GB2312"/>
          <w:sz w:val="32"/>
          <w:szCs w:val="32"/>
        </w:rPr>
      </w:pPr>
      <w:bookmarkStart w:id="19" w:name="_Toc208822960"/>
      <w:bookmarkStart w:id="20" w:name="_Toc21545"/>
      <w:bookmarkStart w:id="21" w:name="_Toc15378449"/>
      <w:bookmarkStart w:id="22" w:name="_Toc15377433"/>
      <w:bookmarkStart w:id="23" w:name="_Toc15306276"/>
      <w:bookmarkStart w:id="24" w:name="_Toc15377202"/>
      <w:r>
        <w:rPr>
          <w:rFonts w:hint="eastAsia"/>
          <w:sz w:val="32"/>
          <w:szCs w:val="32"/>
        </w:rPr>
        <w:t>1.</w:t>
      </w:r>
      <w:r>
        <w:rPr>
          <w:sz w:val="32"/>
          <w:szCs w:val="32"/>
        </w:rPr>
        <w:t>攀枝花市数字化城市联动指挥中心</w:t>
      </w:r>
      <w:bookmarkEnd w:id="19"/>
      <w:bookmarkEnd w:id="20"/>
      <w:bookmarkEnd w:id="21"/>
      <w:bookmarkEnd w:id="22"/>
      <w:bookmarkEnd w:id="23"/>
      <w:bookmarkEnd w:id="24"/>
    </w:p>
    <w:p>
      <w:pPr>
        <w:widowControl/>
        <w:spacing w:line="600" w:lineRule="exact"/>
        <w:ind w:firstLine="640" w:firstLineChars="200"/>
        <w:jc w:val="left"/>
        <w:rPr>
          <w:rFonts w:eastAsia="仿宋"/>
          <w:kern w:val="0"/>
          <w:sz w:val="32"/>
          <w:szCs w:val="32"/>
        </w:rPr>
      </w:pPr>
      <w:r>
        <w:rPr>
          <w:rFonts w:eastAsia="仿宋"/>
          <w:sz w:val="32"/>
          <w:szCs w:val="32"/>
        </w:rPr>
        <w:br w:type="page"/>
      </w:r>
    </w:p>
    <w:p>
      <w:pPr>
        <w:pStyle w:val="3"/>
        <w:jc w:val="center"/>
        <w:rPr>
          <w:rFonts w:eastAsia="方正小标宋简体" w:cs="方正小标宋简体"/>
          <w:b w:val="0"/>
        </w:rPr>
      </w:pPr>
      <w:bookmarkStart w:id="25" w:name="_Toc30363"/>
      <w:bookmarkStart w:id="26" w:name="_Toc9016"/>
      <w:bookmarkStart w:id="27" w:name="_Toc15377204"/>
      <w:bookmarkStart w:id="28" w:name="_Toc15396602"/>
      <w:bookmarkStart w:id="29" w:name="_Toc208822961"/>
      <w:r>
        <w:rPr>
          <w:rFonts w:hint="eastAsia" w:eastAsia="方正小标宋简体" w:cs="方正小标宋简体"/>
          <w:b w:val="0"/>
        </w:rPr>
        <w:t>第二部分  2024年度单位决算情况说明</w:t>
      </w:r>
      <w:bookmarkEnd w:id="25"/>
      <w:bookmarkEnd w:id="26"/>
      <w:bookmarkEnd w:id="27"/>
      <w:bookmarkEnd w:id="28"/>
      <w:bookmarkEnd w:id="29"/>
    </w:p>
    <w:p/>
    <w:p>
      <w:pPr>
        <w:pStyle w:val="27"/>
        <w:spacing w:line="600" w:lineRule="exact"/>
        <w:ind w:firstLine="640"/>
        <w:outlineLvl w:val="1"/>
        <w:rPr>
          <w:rStyle w:val="29"/>
          <w:rFonts w:ascii="Times New Roman" w:hAnsi="Times New Roman" w:eastAsia="黑体"/>
          <w:b w:val="0"/>
        </w:rPr>
      </w:pPr>
      <w:bookmarkStart w:id="30" w:name="_Toc26773"/>
      <w:bookmarkStart w:id="31" w:name="_Toc208822962"/>
      <w:bookmarkStart w:id="32" w:name="_Toc9800"/>
      <w:bookmarkStart w:id="33" w:name="_Toc15396603"/>
      <w:bookmarkStart w:id="34" w:name="_Toc15377205"/>
      <w:r>
        <w:rPr>
          <w:rFonts w:hint="eastAsia" w:eastAsia="黑体"/>
          <w:sz w:val="32"/>
          <w:szCs w:val="32"/>
        </w:rPr>
        <w:t>一、收</w:t>
      </w:r>
      <w:r>
        <w:rPr>
          <w:rStyle w:val="29"/>
          <w:rFonts w:hint="eastAsia" w:ascii="Times New Roman" w:hAnsi="Times New Roman" w:eastAsia="黑体"/>
          <w:b w:val="0"/>
        </w:rPr>
        <w:t>入支出决算总体情况说明</w:t>
      </w:r>
      <w:bookmarkEnd w:id="30"/>
      <w:bookmarkEnd w:id="31"/>
      <w:bookmarkEnd w:id="32"/>
      <w:bookmarkEnd w:id="33"/>
      <w:bookmarkEnd w:id="34"/>
    </w:p>
    <w:p>
      <w:pPr>
        <w:pStyle w:val="27"/>
        <w:spacing w:line="600" w:lineRule="exact"/>
        <w:ind w:firstLine="640"/>
        <w:outlineLvl w:val="1"/>
        <w:rPr>
          <w:rFonts w:eastAsia="仿宋_GB2312" w:cs="仿宋_GB2312"/>
          <w:sz w:val="32"/>
          <w:szCs w:val="32"/>
        </w:rPr>
      </w:pPr>
      <w:bookmarkStart w:id="35" w:name="_Toc208822963"/>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693.68</w:t>
      </w:r>
      <w:r>
        <w:rPr>
          <w:rFonts w:hint="eastAsia" w:eastAsia="仿宋_GB2312" w:cs="仿宋_GB2312"/>
          <w:sz w:val="32"/>
          <w:szCs w:val="32"/>
        </w:rPr>
        <w:t>万元。与2023年度相比，收入、支出总计各增加298.79万元，增长43%。主要变动原因是根据财政资金安排支付了项目资金。</w:t>
      </w:r>
      <w:bookmarkEnd w:id="35"/>
    </w:p>
    <w:p>
      <w:pPr>
        <w:pStyle w:val="27"/>
        <w:spacing w:line="600" w:lineRule="exact"/>
        <w:ind w:firstLine="0" w:firstLineChars="0"/>
        <w:outlineLvl w:val="1"/>
        <w:rPr>
          <w:rFonts w:eastAsia="仿宋_GB2312" w:cs="仿宋_GB2312"/>
          <w:sz w:val="32"/>
          <w:szCs w:val="32"/>
        </w:rPr>
      </w:pPr>
      <w:r>
        <w:drawing>
          <wp:anchor distT="0" distB="0" distL="114300" distR="114300" simplePos="0" relativeHeight="251658240" behindDoc="0" locked="0" layoutInCell="1" allowOverlap="1">
            <wp:simplePos x="0" y="0"/>
            <wp:positionH relativeFrom="column">
              <wp:posOffset>394970</wp:posOffset>
            </wp:positionH>
            <wp:positionV relativeFrom="paragraph">
              <wp:posOffset>366395</wp:posOffset>
            </wp:positionV>
            <wp:extent cx="5006975" cy="3043555"/>
            <wp:effectExtent l="4445" t="4445" r="17780" b="1905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rPr>
        <w:t xml:space="preserve">              </w:t>
      </w:r>
      <w:bookmarkStart w:id="36" w:name="_Toc208822964"/>
      <w:r>
        <w:rPr>
          <w:rFonts w:hint="eastAsia" w:eastAsia="仿宋_GB2312" w:cs="仿宋_GB2312"/>
          <w:sz w:val="32"/>
          <w:szCs w:val="32"/>
        </w:rPr>
        <w:t>（图1：收入、支出决算总计变动情况图）</w:t>
      </w:r>
      <w:bookmarkEnd w:id="36"/>
    </w:p>
    <w:p>
      <w:pPr>
        <w:pStyle w:val="27"/>
        <w:spacing w:line="600" w:lineRule="exact"/>
        <w:ind w:firstLine="640"/>
        <w:outlineLvl w:val="1"/>
        <w:rPr>
          <w:rFonts w:eastAsia="黑体"/>
          <w:sz w:val="32"/>
          <w:szCs w:val="32"/>
        </w:rPr>
      </w:pPr>
      <w:bookmarkStart w:id="37" w:name="_Toc15396604"/>
      <w:bookmarkStart w:id="38" w:name="_Toc29393"/>
      <w:bookmarkStart w:id="39" w:name="_Toc22117"/>
      <w:bookmarkStart w:id="40" w:name="_Toc208822965"/>
      <w:bookmarkStart w:id="41" w:name="_Toc15377206"/>
      <w:r>
        <w:rPr>
          <w:rFonts w:hint="eastAsia" w:eastAsia="黑体"/>
          <w:sz w:val="32"/>
          <w:szCs w:val="32"/>
        </w:rPr>
        <w:t>二、收入决算情况说明</w:t>
      </w:r>
      <w:bookmarkEnd w:id="37"/>
      <w:bookmarkEnd w:id="38"/>
      <w:bookmarkEnd w:id="39"/>
      <w:bookmarkEnd w:id="40"/>
      <w:bookmarkEnd w:id="41"/>
    </w:p>
    <w:p>
      <w:pPr>
        <w:pStyle w:val="27"/>
        <w:spacing w:line="600" w:lineRule="exact"/>
        <w:ind w:firstLine="640"/>
        <w:jc w:val="left"/>
        <w:outlineLvl w:val="1"/>
        <w:rPr>
          <w:rFonts w:ascii="仿宋_GB2312" w:hAnsi="仿宋_GB2312" w:eastAsia="仿宋_GB2312" w:cs="仿宋_GB2312"/>
          <w:sz w:val="32"/>
          <w:szCs w:val="32"/>
        </w:rPr>
      </w:pPr>
      <w:bookmarkStart w:id="42" w:name="_Toc208822966"/>
      <w:r>
        <w:rPr>
          <w:rFonts w:hint="eastAsia" w:ascii="仿宋_GB2312" w:hAnsi="仿宋_GB2312" w:eastAsia="仿宋_GB2312" w:cs="仿宋_GB2312"/>
          <w:sz w:val="32"/>
          <w:szCs w:val="32"/>
        </w:rPr>
        <w:t>2024年度本年收入合计693.68万元，其中：一般公共预算财政拨款收入647.68万元，占93.36%；政府性基金预算财政拨款收入46万元，占6.63%；国有资本经营预算财政拨款收入0万元，占0%；上级补助收入0万元，占0%；事业收入0万元，占0%；经营收入0万元，占0%；附属单位上缴收入0万元，占0%；其他收入0万元，占0%。</w:t>
      </w:r>
      <w:bookmarkEnd w:id="42"/>
    </w:p>
    <w:p>
      <w:pPr>
        <w:pStyle w:val="27"/>
        <w:spacing w:line="600" w:lineRule="exact"/>
        <w:jc w:val="left"/>
        <w:outlineLvl w:val="1"/>
        <w:rPr>
          <w:rFonts w:eastAsia="仿宋_GB2312" w:cs="仿宋_GB2312"/>
          <w:sz w:val="32"/>
          <w:szCs w:val="32"/>
        </w:rPr>
      </w:pPr>
      <w:r>
        <w:drawing>
          <wp:anchor distT="0" distB="0" distL="114300" distR="114300" simplePos="0" relativeHeight="251665408" behindDoc="0" locked="0" layoutInCell="1" allowOverlap="1">
            <wp:simplePos x="0" y="0"/>
            <wp:positionH relativeFrom="column">
              <wp:posOffset>356870</wp:posOffset>
            </wp:positionH>
            <wp:positionV relativeFrom="paragraph">
              <wp:posOffset>81280</wp:posOffset>
            </wp:positionV>
            <wp:extent cx="5513070" cy="3009265"/>
            <wp:effectExtent l="19050" t="0" r="11430" b="635"/>
            <wp:wrapTopAndBottom/>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rPr>
        <w:t xml:space="preserve">               </w:t>
      </w:r>
      <w:bookmarkStart w:id="43" w:name="_Toc208822967"/>
      <w:r>
        <w:rPr>
          <w:rFonts w:hint="eastAsia" w:eastAsia="仿宋_GB2312" w:cs="仿宋_GB2312"/>
          <w:sz w:val="32"/>
          <w:szCs w:val="32"/>
        </w:rPr>
        <w:t>（图2：收入决算结构图）</w:t>
      </w:r>
      <w:bookmarkEnd w:id="43"/>
    </w:p>
    <w:p>
      <w:pPr>
        <w:pStyle w:val="27"/>
        <w:spacing w:line="600" w:lineRule="exact"/>
        <w:ind w:firstLine="640"/>
        <w:outlineLvl w:val="1"/>
        <w:rPr>
          <w:rStyle w:val="29"/>
          <w:rFonts w:ascii="Times New Roman" w:hAnsi="Times New Roman" w:eastAsia="黑体"/>
          <w:b w:val="0"/>
        </w:rPr>
      </w:pPr>
      <w:bookmarkStart w:id="44" w:name="_Toc208822968"/>
      <w:bookmarkStart w:id="45" w:name="_Toc4775"/>
      <w:bookmarkStart w:id="46" w:name="_Toc15377207"/>
      <w:bookmarkStart w:id="47" w:name="_Toc15396605"/>
      <w:bookmarkStart w:id="48" w:name="_Toc23673"/>
      <w:r>
        <w:rPr>
          <w:rFonts w:hint="eastAsia" w:eastAsia="黑体"/>
          <w:sz w:val="32"/>
          <w:szCs w:val="32"/>
        </w:rPr>
        <w:t>三、支</w:t>
      </w:r>
      <w:r>
        <w:rPr>
          <w:rStyle w:val="29"/>
          <w:rFonts w:hint="eastAsia" w:ascii="Times New Roman" w:hAnsi="Times New Roman" w:eastAsia="黑体"/>
          <w:b w:val="0"/>
        </w:rPr>
        <w:t>出决算情况说明</w:t>
      </w:r>
      <w:bookmarkEnd w:id="44"/>
      <w:bookmarkEnd w:id="45"/>
      <w:bookmarkEnd w:id="46"/>
      <w:bookmarkEnd w:id="47"/>
      <w:bookmarkEnd w:id="48"/>
    </w:p>
    <w:p>
      <w:pPr>
        <w:pStyle w:val="27"/>
        <w:spacing w:line="600" w:lineRule="exact"/>
        <w:ind w:firstLine="640"/>
        <w:jc w:val="left"/>
        <w:outlineLvl w:val="1"/>
        <w:rPr>
          <w:rFonts w:ascii="仿宋_GB2312" w:hAnsi="仿宋_GB2312" w:eastAsia="仿宋_GB2312" w:cs="仿宋_GB2312"/>
          <w:sz w:val="32"/>
          <w:szCs w:val="32"/>
        </w:rPr>
      </w:pPr>
      <w:bookmarkStart w:id="49" w:name="_Toc208822969"/>
      <w:r>
        <w:rPr>
          <w:rFonts w:hint="eastAsia" w:ascii="仿宋_GB2312" w:hAnsi="仿宋_GB2312" w:eastAsia="仿宋_GB2312" w:cs="仿宋_GB2312"/>
          <w:sz w:val="32"/>
          <w:szCs w:val="32"/>
        </w:rPr>
        <w:t>2024年度本年支出合计693.68万元，其中：基本支出239.84万元，占34.57%；项目支出453.84万元，占65.42%；上缴上级支出0万元，占0%；经营支出0万元，占0%；对附属单位补助支出0万元，占0%。</w:t>
      </w:r>
      <w:bookmarkEnd w:id="49"/>
    </w:p>
    <w:p>
      <w:pPr>
        <w:pStyle w:val="27"/>
        <w:spacing w:line="600" w:lineRule="exact"/>
        <w:ind w:firstLine="0" w:firstLineChars="0"/>
        <w:jc w:val="left"/>
        <w:outlineLvl w:val="1"/>
        <w:rPr>
          <w:rFonts w:eastAsia="仿宋_GB2312" w:cs="仿宋_GB2312"/>
          <w:sz w:val="32"/>
          <w:szCs w:val="32"/>
        </w:rPr>
      </w:pPr>
      <w:r>
        <w:drawing>
          <wp:anchor distT="0" distB="0" distL="114300" distR="114300" simplePos="0" relativeHeight="251659264" behindDoc="0" locked="0" layoutInCell="1" allowOverlap="1">
            <wp:simplePos x="0" y="0"/>
            <wp:positionH relativeFrom="column">
              <wp:posOffset>-157480</wp:posOffset>
            </wp:positionH>
            <wp:positionV relativeFrom="paragraph">
              <wp:posOffset>128270</wp:posOffset>
            </wp:positionV>
            <wp:extent cx="5619115" cy="2297430"/>
            <wp:effectExtent l="19050" t="0" r="19685" b="762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rPr>
        <w:t xml:space="preserve">            </w:t>
      </w:r>
      <w:bookmarkStart w:id="50" w:name="_Toc208822970"/>
      <w:r>
        <w:rPr>
          <w:rFonts w:hint="eastAsia" w:eastAsia="仿宋_GB2312" w:cs="仿宋_GB2312"/>
          <w:sz w:val="32"/>
          <w:szCs w:val="32"/>
        </w:rPr>
        <w:t>（图3：支出决算结构图）（饼状图）</w:t>
      </w:r>
      <w:bookmarkEnd w:id="50"/>
    </w:p>
    <w:p>
      <w:pPr>
        <w:spacing w:line="600" w:lineRule="exact"/>
        <w:ind w:firstLine="640" w:firstLineChars="200"/>
        <w:outlineLvl w:val="1"/>
        <w:rPr>
          <w:rStyle w:val="29"/>
          <w:rFonts w:ascii="Times New Roman" w:hAnsi="Times New Roman" w:eastAsia="黑体"/>
          <w:b w:val="0"/>
        </w:rPr>
      </w:pPr>
      <w:bookmarkStart w:id="51" w:name="_Toc6652"/>
      <w:bookmarkStart w:id="52" w:name="_Toc15377208"/>
      <w:bookmarkStart w:id="53" w:name="_Toc101"/>
      <w:bookmarkStart w:id="54" w:name="_Toc208822971"/>
      <w:bookmarkStart w:id="55" w:name="_Toc15396606"/>
      <w:r>
        <w:rPr>
          <w:rFonts w:hint="eastAsia" w:eastAsia="黑体"/>
          <w:sz w:val="32"/>
          <w:szCs w:val="32"/>
        </w:rPr>
        <w:t>四、财</w:t>
      </w:r>
      <w:r>
        <w:rPr>
          <w:rStyle w:val="29"/>
          <w:rFonts w:hint="eastAsia" w:ascii="Times New Roman" w:hAnsi="Times New Roman" w:eastAsia="黑体"/>
          <w:b w:val="0"/>
        </w:rPr>
        <w:t>政拨款收入支出决算总体情况说明</w:t>
      </w:r>
      <w:bookmarkEnd w:id="51"/>
      <w:bookmarkEnd w:id="52"/>
      <w:bookmarkEnd w:id="53"/>
      <w:bookmarkEnd w:id="54"/>
      <w:bookmarkEnd w:id="55"/>
    </w:p>
    <w:p>
      <w:pPr>
        <w:pStyle w:val="27"/>
        <w:spacing w:line="560" w:lineRule="exact"/>
        <w:ind w:firstLine="640"/>
        <w:outlineLvl w:val="1"/>
        <w:rPr>
          <w:rFonts w:eastAsia="仿宋_GB2312" w:cs="仿宋_GB2312"/>
          <w:sz w:val="32"/>
          <w:szCs w:val="32"/>
        </w:rPr>
      </w:pPr>
      <w:bookmarkStart w:id="56" w:name="_Toc208822972"/>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693.68</w:t>
      </w:r>
      <w:r>
        <w:rPr>
          <w:rFonts w:hint="eastAsia" w:eastAsia="仿宋_GB2312" w:cs="仿宋_GB2312"/>
          <w:sz w:val="32"/>
          <w:szCs w:val="32"/>
        </w:rPr>
        <w:t>万元。与2023年度相比，财政拨款收入、支出总计各增加298.79万元，增长43%。主要变动原因是根据财政资金安排支付了项目资金。</w:t>
      </w:r>
      <w:bookmarkEnd w:id="56"/>
    </w:p>
    <w:p>
      <w:pPr>
        <w:spacing w:line="600" w:lineRule="exact"/>
        <w:ind w:firstLine="1260" w:firstLineChars="600"/>
        <w:rPr>
          <w:rFonts w:eastAsia="仿宋_GB2312" w:cs="仿宋_GB2312"/>
          <w:sz w:val="32"/>
          <w:szCs w:val="32"/>
        </w:rPr>
      </w:pPr>
      <w:r>
        <w:drawing>
          <wp:anchor distT="0" distB="0" distL="114300" distR="114300" simplePos="0" relativeHeight="251661312" behindDoc="0" locked="0" layoutInCell="1" allowOverlap="1">
            <wp:simplePos x="0" y="0"/>
            <wp:positionH relativeFrom="column">
              <wp:posOffset>195580</wp:posOffset>
            </wp:positionH>
            <wp:positionV relativeFrom="paragraph">
              <wp:posOffset>80645</wp:posOffset>
            </wp:positionV>
            <wp:extent cx="5463540" cy="1787525"/>
            <wp:effectExtent l="4445" t="4445" r="18415" b="17780"/>
            <wp:wrapTopAndBottom/>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eastAsia="仿宋_GB2312" w:cs="仿宋_GB2312"/>
          <w:sz w:val="32"/>
          <w:szCs w:val="32"/>
        </w:rPr>
        <w:t>（图4：财政拨款收、支决算总计变动情况）</w:t>
      </w:r>
    </w:p>
    <w:p>
      <w:pPr>
        <w:spacing w:line="560" w:lineRule="exact"/>
        <w:ind w:firstLine="640" w:firstLineChars="200"/>
        <w:outlineLvl w:val="1"/>
        <w:rPr>
          <w:rStyle w:val="29"/>
          <w:rFonts w:ascii="Times New Roman" w:hAnsi="Times New Roman" w:eastAsia="黑体"/>
          <w:b w:val="0"/>
        </w:rPr>
      </w:pPr>
      <w:bookmarkStart w:id="57" w:name="_Toc15377209"/>
      <w:bookmarkStart w:id="58" w:name="_Toc10268"/>
      <w:bookmarkStart w:id="59" w:name="_Toc17893"/>
      <w:bookmarkStart w:id="60" w:name="_Toc15396607"/>
      <w:bookmarkStart w:id="61" w:name="_Toc208822973"/>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57"/>
      <w:bookmarkEnd w:id="58"/>
      <w:bookmarkEnd w:id="59"/>
      <w:bookmarkEnd w:id="60"/>
      <w:bookmarkEnd w:id="61"/>
    </w:p>
    <w:p>
      <w:pPr>
        <w:spacing w:line="560" w:lineRule="exact"/>
        <w:ind w:firstLine="642" w:firstLineChars="200"/>
        <w:outlineLvl w:val="2"/>
        <w:rPr>
          <w:rFonts w:eastAsia="楷体_GB2312" w:cs="楷体_GB2312"/>
          <w:b/>
          <w:sz w:val="32"/>
          <w:szCs w:val="32"/>
        </w:rPr>
      </w:pPr>
      <w:bookmarkStart w:id="62" w:name="_Toc18451"/>
      <w:bookmarkStart w:id="63" w:name="_Toc15377210"/>
      <w:bookmarkStart w:id="64" w:name="_Toc208822974"/>
      <w:r>
        <w:rPr>
          <w:rFonts w:hint="eastAsia" w:eastAsia="楷体_GB2312" w:cs="楷体_GB2312"/>
          <w:b/>
          <w:sz w:val="32"/>
          <w:szCs w:val="32"/>
        </w:rPr>
        <w:t>（一）一般公共预算财政拨款支出决算总体情况</w:t>
      </w:r>
      <w:bookmarkEnd w:id="62"/>
      <w:bookmarkEnd w:id="63"/>
      <w:bookmarkEnd w:id="64"/>
    </w:p>
    <w:p>
      <w:pPr>
        <w:pStyle w:val="27"/>
        <w:spacing w:line="560" w:lineRule="exact"/>
        <w:ind w:firstLine="640"/>
        <w:outlineLvl w:val="1"/>
        <w:rPr>
          <w:rFonts w:eastAsia="仿宋_GB2312" w:cs="仿宋_GB2312"/>
          <w:sz w:val="32"/>
          <w:szCs w:val="32"/>
        </w:rPr>
      </w:pPr>
      <w:bookmarkStart w:id="65" w:name="_Toc208822975"/>
      <w:r>
        <w:rPr>
          <w:rFonts w:hint="eastAsia" w:ascii="仿宋_GB2312" w:hAnsi="仿宋_GB2312" w:eastAsia="仿宋_GB2312" w:cs="仿宋_GB2312"/>
          <w:sz w:val="32"/>
          <w:szCs w:val="32"/>
        </w:rPr>
        <w:t>2024年度一般公共预算财政拨款支出647.68万元，占本年支出合计的93.36%。与2023年度相比，一般公共预算财政拨款支出增加252.79万元，增长39%。主要变动原因是</w:t>
      </w:r>
      <w:r>
        <w:rPr>
          <w:rFonts w:hint="eastAsia" w:eastAsia="仿宋_GB2312" w:cs="仿宋_GB2312"/>
          <w:sz w:val="32"/>
          <w:szCs w:val="32"/>
        </w:rPr>
        <w:t>根据财政资金安排支付了项目资金。</w:t>
      </w:r>
      <w:bookmarkEnd w:id="65"/>
    </w:p>
    <w:p>
      <w:pPr>
        <w:pStyle w:val="27"/>
        <w:spacing w:line="600" w:lineRule="exact"/>
        <w:outlineLvl w:val="1"/>
        <w:rPr>
          <w:rFonts w:eastAsia="仿宋_GB2312" w:cs="仿宋_GB2312"/>
          <w:sz w:val="32"/>
          <w:szCs w:val="32"/>
        </w:rPr>
      </w:pPr>
      <w:r>
        <w:drawing>
          <wp:anchor distT="0" distB="0" distL="114300" distR="114300" simplePos="0" relativeHeight="251662336" behindDoc="0" locked="0" layoutInCell="1" allowOverlap="1">
            <wp:simplePos x="0" y="0"/>
            <wp:positionH relativeFrom="column">
              <wp:posOffset>233680</wp:posOffset>
            </wp:positionH>
            <wp:positionV relativeFrom="paragraph">
              <wp:posOffset>128270</wp:posOffset>
            </wp:positionV>
            <wp:extent cx="5408930" cy="1790700"/>
            <wp:effectExtent l="4445" t="4445" r="15875" b="14605"/>
            <wp:wrapTopAndBottom/>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rPr>
        <w:t xml:space="preserve">     </w:t>
      </w:r>
      <w:bookmarkStart w:id="66" w:name="_Toc208822976"/>
      <w:r>
        <w:rPr>
          <w:rFonts w:hint="eastAsia" w:eastAsia="仿宋_GB2312" w:cs="仿宋_GB2312"/>
          <w:sz w:val="32"/>
          <w:szCs w:val="32"/>
        </w:rPr>
        <w:t>（图5：一般公共预算财政拨款支出决算变动情况）</w:t>
      </w:r>
      <w:bookmarkEnd w:id="66"/>
    </w:p>
    <w:p>
      <w:pPr>
        <w:spacing w:line="600" w:lineRule="exact"/>
        <w:ind w:firstLine="642" w:firstLineChars="200"/>
        <w:outlineLvl w:val="2"/>
        <w:rPr>
          <w:rFonts w:eastAsia="楷体_GB2312" w:cs="楷体_GB2312"/>
          <w:b/>
          <w:sz w:val="32"/>
          <w:szCs w:val="32"/>
        </w:rPr>
      </w:pPr>
      <w:bookmarkStart w:id="67" w:name="_Toc208822977"/>
      <w:bookmarkStart w:id="68" w:name="_Toc15377211"/>
      <w:bookmarkStart w:id="69" w:name="_Toc9499"/>
      <w:r>
        <w:rPr>
          <w:rFonts w:hint="eastAsia" w:eastAsia="楷体_GB2312" w:cs="楷体_GB2312"/>
          <w:b/>
          <w:sz w:val="32"/>
          <w:szCs w:val="32"/>
        </w:rPr>
        <w:t>（二）一般公共预算财政拨款支出决算结构情况</w:t>
      </w:r>
      <w:bookmarkEnd w:id="67"/>
      <w:bookmarkEnd w:id="68"/>
      <w:bookmarkEnd w:id="69"/>
    </w:p>
    <w:p>
      <w:pPr>
        <w:spacing w:line="600" w:lineRule="exact"/>
        <w:ind w:firstLine="640"/>
      </w:pPr>
      <w:r>
        <w:rPr>
          <w:rFonts w:hint="eastAsia" w:eastAsia="仿宋_GB2312" w:cs="仿宋_GB2312"/>
          <w:sz w:val="32"/>
          <w:szCs w:val="32"/>
        </w:rPr>
        <w:drawing>
          <wp:anchor distT="0" distB="0" distL="114300" distR="114300" simplePos="0" relativeHeight="251663360" behindDoc="0" locked="0" layoutInCell="1" allowOverlap="1">
            <wp:simplePos x="0" y="0"/>
            <wp:positionH relativeFrom="column">
              <wp:posOffset>-9525</wp:posOffset>
            </wp:positionH>
            <wp:positionV relativeFrom="paragraph">
              <wp:posOffset>1676400</wp:posOffset>
            </wp:positionV>
            <wp:extent cx="5537200" cy="3041650"/>
            <wp:effectExtent l="19050" t="0" r="25400" b="6350"/>
            <wp:wrapTopAndBottom/>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647.68万元</w:t>
      </w:r>
      <w:r>
        <w:rPr>
          <w:rFonts w:hint="eastAsia" w:eastAsia="仿宋_GB2312" w:cs="仿宋_GB2312"/>
          <w:sz w:val="32"/>
          <w:szCs w:val="32"/>
        </w:rPr>
        <w:t>，主要用于以下方面：</w:t>
      </w:r>
      <w:r>
        <w:rPr>
          <w:rFonts w:hint="eastAsia" w:ascii="仿宋" w:hAnsi="仿宋" w:eastAsia="仿宋"/>
          <w:sz w:val="32"/>
          <w:szCs w:val="32"/>
        </w:rPr>
        <w:t>社会保障和就业支出24.98万元，占4%；卫生健康支出15.24万元，占2%；住房保障支出18.72万元，占3%；城乡社区支出588.74万元，占91%。</w:t>
      </w: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w:t>
      </w:r>
    </w:p>
    <w:p>
      <w:pPr>
        <w:spacing w:line="600" w:lineRule="exact"/>
        <w:ind w:firstLine="642" w:firstLineChars="200"/>
        <w:outlineLvl w:val="2"/>
        <w:rPr>
          <w:rFonts w:eastAsia="楷体_GB2312" w:cs="楷体_GB2312"/>
          <w:b/>
          <w:sz w:val="32"/>
          <w:szCs w:val="32"/>
        </w:rPr>
      </w:pPr>
      <w:bookmarkStart w:id="70" w:name="_Toc17258"/>
      <w:bookmarkStart w:id="71" w:name="_Toc15377212"/>
      <w:bookmarkStart w:id="72" w:name="_Toc208822978"/>
      <w:r>
        <w:rPr>
          <w:rFonts w:hint="eastAsia" w:eastAsia="楷体_GB2312" w:cs="楷体_GB2312"/>
          <w:b/>
          <w:sz w:val="32"/>
          <w:szCs w:val="32"/>
        </w:rPr>
        <w:t>（三）一般公共预算财政拨款支出决算具体情况</w:t>
      </w:r>
      <w:bookmarkEnd w:id="70"/>
      <w:bookmarkEnd w:id="71"/>
      <w:bookmarkEnd w:id="72"/>
    </w:p>
    <w:p>
      <w:pPr>
        <w:spacing w:line="600" w:lineRule="exact"/>
        <w:ind w:firstLine="640"/>
        <w:rPr>
          <w:rFonts w:eastAsia="仿宋_GB2312" w:cs="仿宋_GB2312"/>
          <w:sz w:val="32"/>
          <w:szCs w:val="32"/>
        </w:rPr>
      </w:pPr>
      <w:bookmarkStart w:id="73" w:name="_Toc15378460"/>
      <w:bookmarkStart w:id="74" w:name="_Toc15377444"/>
      <w:bookmarkStart w:id="75" w:name="_Toc15377213"/>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647.68，</w:t>
      </w:r>
      <w:r>
        <w:rPr>
          <w:rFonts w:hint="eastAsia" w:eastAsia="仿宋_GB2312" w:cs="仿宋_GB2312"/>
          <w:sz w:val="32"/>
          <w:szCs w:val="32"/>
        </w:rPr>
        <w:t>完成预算100%。其中：</w:t>
      </w:r>
      <w:bookmarkEnd w:id="73"/>
      <w:bookmarkEnd w:id="74"/>
      <w:bookmarkEnd w:id="75"/>
    </w:p>
    <w:p>
      <w:pPr>
        <w:spacing w:line="600" w:lineRule="exact"/>
        <w:ind w:firstLine="642" w:firstLineChars="200"/>
        <w:rPr>
          <w:rStyle w:val="17"/>
          <w:rFonts w:ascii="仿宋" w:hAnsi="仿宋" w:eastAsia="仿宋"/>
          <w:b w:val="0"/>
          <w:bCs/>
          <w:sz w:val="32"/>
          <w:szCs w:val="32"/>
        </w:rPr>
      </w:pPr>
      <w:r>
        <w:rPr>
          <w:rStyle w:val="17"/>
          <w:rFonts w:hint="eastAsia" w:ascii="仿宋" w:hAnsi="仿宋" w:eastAsia="仿宋"/>
          <w:bCs/>
          <w:sz w:val="32"/>
          <w:szCs w:val="32"/>
        </w:rPr>
        <w:t>1.社会保障和就业（类）行政事业单位养老支出（款）机关事业单位基本养老保险缴费支出（项）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Fonts w:hint="eastAsia" w:ascii="仿宋" w:hAnsi="仿宋" w:eastAsia="仿宋"/>
          <w:sz w:val="32"/>
          <w:szCs w:val="32"/>
        </w:rPr>
        <w:t>24.98</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2" w:firstLineChars="200"/>
        <w:rPr>
          <w:rStyle w:val="17"/>
          <w:rFonts w:ascii="仿宋" w:hAnsi="仿宋" w:eastAsia="仿宋"/>
          <w:b w:val="0"/>
          <w:bCs/>
          <w:sz w:val="32"/>
          <w:szCs w:val="32"/>
        </w:rPr>
      </w:pPr>
      <w:r>
        <w:rPr>
          <w:rFonts w:hint="eastAsia" w:ascii="仿宋" w:hAnsi="仿宋" w:eastAsia="仿宋"/>
          <w:b/>
          <w:bCs/>
          <w:sz w:val="32"/>
          <w:szCs w:val="32"/>
        </w:rPr>
        <w:t>2.城乡社区支出</w:t>
      </w:r>
      <w:r>
        <w:rPr>
          <w:rStyle w:val="17"/>
          <w:rFonts w:hint="eastAsia" w:ascii="仿宋" w:hAnsi="仿宋" w:eastAsia="仿宋"/>
          <w:bCs/>
          <w:sz w:val="32"/>
          <w:szCs w:val="32"/>
        </w:rPr>
        <w:t>（类）城乡社区管理服务（款）其他城乡社区管理事务支出（项）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Fonts w:hint="eastAsia" w:ascii="仿宋" w:hAnsi="仿宋" w:eastAsia="仿宋"/>
          <w:sz w:val="32"/>
          <w:szCs w:val="32"/>
        </w:rPr>
        <w:t>588.73</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bCs/>
          <w:sz w:val="32"/>
          <w:szCs w:val="32"/>
        </w:rPr>
        <w:t>3.</w:t>
      </w:r>
      <w:r>
        <w:rPr>
          <w:rFonts w:ascii="仿宋" w:hAnsi="仿宋" w:eastAsia="仿宋"/>
          <w:b/>
          <w:bCs/>
          <w:sz w:val="32"/>
          <w:szCs w:val="32"/>
        </w:rPr>
        <w:t xml:space="preserve"> </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Fonts w:hint="eastAsia" w:ascii="仿宋" w:hAnsi="仿宋" w:eastAsia="仿宋"/>
          <w:sz w:val="32"/>
          <w:szCs w:val="32"/>
        </w:rPr>
        <w:t>18.72</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2" w:firstLineChars="200"/>
        <w:rPr>
          <w:rStyle w:val="17"/>
          <w:rFonts w:ascii="仿宋" w:hAnsi="仿宋" w:eastAsia="仿宋"/>
          <w:b w:val="0"/>
          <w:bCs/>
          <w:sz w:val="32"/>
          <w:szCs w:val="32"/>
        </w:rPr>
      </w:pPr>
      <w:r>
        <w:rPr>
          <w:rStyle w:val="17"/>
          <w:rFonts w:hint="eastAsia" w:ascii="仿宋" w:hAnsi="仿宋" w:eastAsia="仿宋"/>
          <w:bCs/>
          <w:sz w:val="32"/>
          <w:szCs w:val="32"/>
        </w:rPr>
        <w:t>4</w:t>
      </w:r>
      <w:r>
        <w:rPr>
          <w:rStyle w:val="17"/>
          <w:rFonts w:ascii="仿宋" w:hAnsi="仿宋" w:eastAsia="仿宋"/>
          <w:bCs/>
          <w:sz w:val="32"/>
          <w:szCs w:val="32"/>
        </w:rPr>
        <w:t>.</w:t>
      </w:r>
      <w:r>
        <w:rPr>
          <w:rFonts w:hint="eastAsia" w:ascii="仿宋" w:hAnsi="仿宋" w:eastAsia="仿宋"/>
          <w:b/>
          <w:bCs/>
          <w:sz w:val="32"/>
          <w:szCs w:val="32"/>
        </w:rPr>
        <w:t>卫</w:t>
      </w:r>
      <w:r>
        <w:rPr>
          <w:rStyle w:val="17"/>
          <w:rFonts w:hint="eastAsia" w:ascii="仿宋" w:hAnsi="仿宋" w:eastAsia="仿宋"/>
          <w:bCs/>
          <w:sz w:val="32"/>
          <w:szCs w:val="32"/>
        </w:rPr>
        <w:t>生健康（类）行政事业单位医疗（款）事业单位医疗（项）:</w:t>
      </w:r>
      <w:r>
        <w:rPr>
          <w:rStyle w:val="17"/>
          <w:rFonts w:hint="eastAsia" w:ascii="仿宋" w:hAnsi="仿宋" w:eastAsia="仿宋"/>
          <w:b w:val="0"/>
          <w:bCs/>
          <w:sz w:val="32"/>
          <w:szCs w:val="32"/>
        </w:rPr>
        <w:t>支出决算为12.08万元，完成预算100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2" w:firstLineChars="200"/>
        <w:rPr>
          <w:rStyle w:val="17"/>
          <w:rFonts w:ascii="仿宋" w:hAnsi="仿宋" w:eastAsia="仿宋"/>
          <w:b w:val="0"/>
          <w:bCs/>
          <w:sz w:val="32"/>
          <w:szCs w:val="32"/>
        </w:rPr>
      </w:pPr>
      <w:r>
        <w:rPr>
          <w:rStyle w:val="17"/>
          <w:rFonts w:hint="eastAsia" w:ascii="仿宋" w:hAnsi="仿宋" w:eastAsia="仿宋"/>
          <w:bCs/>
          <w:sz w:val="32"/>
          <w:szCs w:val="32"/>
        </w:rPr>
        <w:t>5</w:t>
      </w:r>
      <w:r>
        <w:rPr>
          <w:rStyle w:val="17"/>
          <w:rFonts w:ascii="仿宋" w:hAnsi="仿宋" w:eastAsia="仿宋"/>
          <w:bCs/>
          <w:sz w:val="32"/>
          <w:szCs w:val="32"/>
        </w:rPr>
        <w:t>.</w:t>
      </w:r>
      <w:r>
        <w:rPr>
          <w:rFonts w:hint="eastAsia" w:ascii="仿宋" w:hAnsi="仿宋" w:eastAsia="仿宋"/>
          <w:b/>
          <w:bCs/>
          <w:sz w:val="32"/>
          <w:szCs w:val="32"/>
        </w:rPr>
        <w:t>卫</w:t>
      </w:r>
      <w:r>
        <w:rPr>
          <w:rStyle w:val="17"/>
          <w:rFonts w:hint="eastAsia" w:ascii="仿宋" w:hAnsi="仿宋" w:eastAsia="仿宋"/>
          <w:bCs/>
          <w:sz w:val="32"/>
          <w:szCs w:val="32"/>
        </w:rPr>
        <w:t>生健康（类）行政事业单位医疗（款）</w:t>
      </w:r>
      <w:r>
        <w:rPr>
          <w:rFonts w:ascii="宋体" w:hAnsi="宋体" w:cs="宋体"/>
          <w:sz w:val="24"/>
        </w:rPr>
        <w:t>公务员医疗补助</w:t>
      </w:r>
      <w:r>
        <w:rPr>
          <w:rStyle w:val="17"/>
          <w:rFonts w:hint="eastAsia" w:ascii="仿宋" w:hAnsi="仿宋" w:eastAsia="仿宋"/>
          <w:bCs/>
          <w:sz w:val="32"/>
          <w:szCs w:val="32"/>
        </w:rPr>
        <w:t>（项）:</w:t>
      </w:r>
      <w:r>
        <w:rPr>
          <w:rStyle w:val="17"/>
          <w:rFonts w:hint="eastAsia" w:ascii="仿宋" w:hAnsi="仿宋" w:eastAsia="仿宋"/>
          <w:b w:val="0"/>
          <w:bCs/>
          <w:sz w:val="32"/>
          <w:szCs w:val="32"/>
        </w:rPr>
        <w:t>支出决算为1.71万元，完成预算100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2" w:firstLineChars="200"/>
        <w:rPr>
          <w:rFonts w:eastAsia="仿宋_GB2312" w:cs="仿宋_GB2312"/>
          <w:b/>
          <w:bCs/>
          <w:sz w:val="32"/>
          <w:szCs w:val="32"/>
        </w:rPr>
      </w:pPr>
      <w:r>
        <w:rPr>
          <w:rStyle w:val="17"/>
          <w:rFonts w:hint="eastAsia" w:ascii="仿宋" w:hAnsi="仿宋" w:eastAsia="仿宋"/>
          <w:bCs/>
          <w:sz w:val="32"/>
          <w:szCs w:val="32"/>
        </w:rPr>
        <w:t>6</w:t>
      </w:r>
      <w:r>
        <w:rPr>
          <w:rStyle w:val="17"/>
          <w:rFonts w:ascii="仿宋" w:hAnsi="仿宋" w:eastAsia="仿宋"/>
          <w:bCs/>
          <w:sz w:val="32"/>
          <w:szCs w:val="32"/>
        </w:rPr>
        <w:t>.</w:t>
      </w:r>
      <w:r>
        <w:rPr>
          <w:rStyle w:val="17"/>
          <w:rFonts w:hint="eastAsia" w:ascii="仿宋" w:hAnsi="仿宋" w:eastAsia="仿宋"/>
          <w:bCs/>
          <w:sz w:val="32"/>
          <w:szCs w:val="32"/>
        </w:rPr>
        <w:t>卫生健康（类）行政事业单位医疗（款）其他行政事业单位医疗支出（项）:</w:t>
      </w:r>
      <w:r>
        <w:rPr>
          <w:rStyle w:val="17"/>
          <w:rFonts w:hint="eastAsia" w:ascii="仿宋" w:hAnsi="仿宋" w:eastAsia="仿宋"/>
          <w:b w:val="0"/>
          <w:bCs/>
          <w:sz w:val="32"/>
          <w:szCs w:val="32"/>
        </w:rPr>
        <w:t>支出决算为</w:t>
      </w:r>
      <w:r>
        <w:rPr>
          <w:rFonts w:hint="eastAsia" w:ascii="仿宋" w:hAnsi="仿宋" w:eastAsia="仿宋"/>
          <w:sz w:val="32"/>
          <w:szCs w:val="32"/>
        </w:rPr>
        <w:t>1.46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bookmarkStart w:id="76" w:name="_Toc15396608"/>
      <w:bookmarkStart w:id="77" w:name="_Toc15377214"/>
    </w:p>
    <w:p>
      <w:pPr>
        <w:tabs>
          <w:tab w:val="right" w:pos="8306"/>
        </w:tabs>
        <w:spacing w:line="600" w:lineRule="exact"/>
        <w:ind w:firstLine="640"/>
        <w:outlineLvl w:val="1"/>
        <w:rPr>
          <w:rStyle w:val="29"/>
          <w:rFonts w:ascii="Times New Roman" w:hAnsi="Times New Roman"/>
        </w:rPr>
      </w:pPr>
      <w:bookmarkStart w:id="78" w:name="_Toc17335"/>
      <w:bookmarkStart w:id="79" w:name="_Toc208822979"/>
      <w:bookmarkStart w:id="80" w:name="_Toc9677"/>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76"/>
      <w:bookmarkEnd w:id="77"/>
      <w:bookmarkEnd w:id="78"/>
      <w:bookmarkEnd w:id="79"/>
      <w:bookmarkEnd w:id="80"/>
      <w:r>
        <w:rPr>
          <w:rStyle w:val="29"/>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239.84万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221.96万</w:t>
      </w:r>
      <w:r>
        <w:rPr>
          <w:rFonts w:hint="eastAsia" w:eastAsia="仿宋_GB2312" w:cs="仿宋_GB2312"/>
          <w:sz w:val="32"/>
          <w:szCs w:val="32"/>
        </w:rPr>
        <w:t>元，主要包括：</w:t>
      </w:r>
      <w:r>
        <w:rPr>
          <w:rFonts w:hint="eastAsia" w:ascii="仿宋" w:hAnsi="仿宋" w:eastAsia="仿宋"/>
          <w:sz w:val="32"/>
          <w:szCs w:val="32"/>
        </w:rPr>
        <w:t>基本工资、津贴补贴、绩效工资、机关事业单位基本养老保险缴费、其他社会保障缴费、奖励金、职工基本医疗保险费、公务员医疗补助缴费、住房公积金等。</w:t>
      </w:r>
      <w:r>
        <w:rPr>
          <w:rFonts w:ascii="仿宋" w:hAnsi="仿宋" w:eastAsia="仿宋"/>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17.88万</w:t>
      </w:r>
      <w:r>
        <w:rPr>
          <w:rFonts w:hint="eastAsia" w:eastAsia="仿宋_GB2312" w:cs="仿宋_GB2312"/>
          <w:sz w:val="32"/>
          <w:szCs w:val="32"/>
        </w:rPr>
        <w:t>元，主要包括：办公费、水费、邮电费、物业管理费、差旅费、培训费、委托业务费、工会经费、福利费、公务用车运行维护费、其他交通费、其他商品和服务支出等。</w:t>
      </w:r>
    </w:p>
    <w:p>
      <w:pPr>
        <w:spacing w:line="600" w:lineRule="exact"/>
        <w:ind w:firstLine="640"/>
        <w:outlineLvl w:val="1"/>
        <w:rPr>
          <w:rStyle w:val="29"/>
          <w:rFonts w:ascii="Times New Roman" w:hAnsi="Times New Roman" w:eastAsia="黑体"/>
          <w:b w:val="0"/>
        </w:rPr>
      </w:pPr>
      <w:bookmarkStart w:id="81" w:name="_Toc26706"/>
      <w:bookmarkStart w:id="82" w:name="_Toc32472"/>
      <w:bookmarkStart w:id="83" w:name="_Toc208822980"/>
      <w:bookmarkStart w:id="84" w:name="_Toc15377215"/>
      <w:bookmarkStart w:id="85" w:name="_Toc15396609"/>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81"/>
      <w:bookmarkEnd w:id="82"/>
      <w:bookmarkEnd w:id="83"/>
      <w:bookmarkEnd w:id="84"/>
      <w:bookmarkEnd w:id="85"/>
    </w:p>
    <w:p>
      <w:pPr>
        <w:spacing w:line="600" w:lineRule="exact"/>
        <w:ind w:firstLine="642" w:firstLineChars="200"/>
        <w:outlineLvl w:val="2"/>
        <w:rPr>
          <w:rFonts w:eastAsia="楷体_GB2312" w:cs="楷体_GB2312"/>
          <w:b/>
          <w:sz w:val="32"/>
          <w:szCs w:val="32"/>
        </w:rPr>
      </w:pPr>
      <w:bookmarkStart w:id="86" w:name="_Toc15377216"/>
      <w:bookmarkStart w:id="87" w:name="_Toc28744"/>
      <w:bookmarkStart w:id="88" w:name="_Toc208822981"/>
      <w:r>
        <w:rPr>
          <w:rFonts w:hint="eastAsia" w:eastAsia="楷体_GB2312" w:cs="楷体_GB2312"/>
          <w:b/>
          <w:sz w:val="32"/>
          <w:szCs w:val="32"/>
        </w:rPr>
        <w:t>（一）“三公”经费财政拨款支出决算总体情况说明</w:t>
      </w:r>
      <w:bookmarkEnd w:id="86"/>
      <w:bookmarkEnd w:id="87"/>
      <w:bookmarkEnd w:id="88"/>
    </w:p>
    <w:p>
      <w:pPr>
        <w:spacing w:line="600" w:lineRule="exact"/>
        <w:ind w:firstLine="640"/>
        <w:rPr>
          <w:rFonts w:eastAsia="仿宋_GB2312" w:cs="仿宋_GB2312"/>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1.13万元，完成预算100%，</w:t>
      </w:r>
      <w:r>
        <w:rPr>
          <w:rFonts w:hint="eastAsia" w:eastAsia="仿宋_GB2312" w:cs="仿宋_GB2312"/>
          <w:sz w:val="32"/>
          <w:szCs w:val="32"/>
        </w:rPr>
        <w:t>较上年度减少0.25万元，下降18%。决算数与预算数持平。</w:t>
      </w:r>
    </w:p>
    <w:p>
      <w:pPr>
        <w:spacing w:line="600" w:lineRule="exact"/>
        <w:ind w:firstLine="642" w:firstLineChars="200"/>
        <w:outlineLvl w:val="2"/>
        <w:rPr>
          <w:rFonts w:eastAsia="楷体_GB2312" w:cs="楷体_GB2312"/>
          <w:b/>
          <w:sz w:val="32"/>
          <w:szCs w:val="32"/>
        </w:rPr>
      </w:pPr>
      <w:bookmarkStart w:id="89" w:name="_Toc208822982"/>
      <w:bookmarkStart w:id="90" w:name="_Toc28330"/>
      <w:bookmarkStart w:id="91" w:name="_Toc15377217"/>
      <w:r>
        <w:rPr>
          <w:rFonts w:hint="eastAsia" w:eastAsia="楷体_GB2312" w:cs="楷体_GB2312"/>
          <w:b/>
          <w:sz w:val="32"/>
          <w:szCs w:val="32"/>
        </w:rPr>
        <w:t>（二）“三公”经费财政拨款支出决算具体情况说明</w:t>
      </w:r>
      <w:bookmarkEnd w:id="89"/>
      <w:bookmarkEnd w:id="90"/>
      <w:bookmarkEnd w:id="91"/>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2024年度“三公”经费财政拨款支出决算中，因公出国（境）费支出决算0万元，占0%；公务用车购置及运行维护费支出决算1.13万元，占100%；公务接待费支出决算0万元，占0%。具体情况如下：</w:t>
      </w:r>
    </w:p>
    <w:p>
      <w:pPr>
        <w:pStyle w:val="2"/>
        <w:spacing w:before="93"/>
      </w:pPr>
      <w:r>
        <w:drawing>
          <wp:anchor distT="0" distB="0" distL="114300" distR="114300" simplePos="0" relativeHeight="251664384" behindDoc="0" locked="0" layoutInCell="1" allowOverlap="1">
            <wp:simplePos x="0" y="0"/>
            <wp:positionH relativeFrom="column">
              <wp:posOffset>109855</wp:posOffset>
            </wp:positionH>
            <wp:positionV relativeFrom="paragraph">
              <wp:posOffset>142875</wp:posOffset>
            </wp:positionV>
            <wp:extent cx="5314315" cy="2466975"/>
            <wp:effectExtent l="19050" t="0" r="19685" b="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w:t>
      </w:r>
    </w:p>
    <w:p>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。因公出国（境）支出决算比2023年增加0万元，增长0%。</w:t>
      </w:r>
    </w:p>
    <w:p>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1.13万</w:t>
      </w:r>
      <w:r>
        <w:rPr>
          <w:rFonts w:hint="eastAsia" w:eastAsia="仿宋_GB2312" w:cs="仿宋_GB2312"/>
          <w:b/>
          <w:bCs/>
          <w:sz w:val="32"/>
          <w:szCs w:val="32"/>
        </w:rPr>
        <w:t>元，完成预算100%。</w:t>
      </w:r>
      <w:r>
        <w:rPr>
          <w:rFonts w:hint="eastAsia" w:eastAsia="仿宋_GB2312" w:cs="仿宋_GB2312"/>
          <w:sz w:val="32"/>
          <w:szCs w:val="32"/>
        </w:rPr>
        <w:t>公务用车购置及运行维护费支出决算比2023年度增加0.01万元，增长0.88%。主要原因是根据车辆实际情况增加了车辆的维修费用。</w:t>
      </w:r>
    </w:p>
    <w:p>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万元。全年按规定更新购置公务用车0辆，其中：轿车0辆、金额0万元，越野车0辆、金额0万元，载客汽车0辆、金额0万元。截至2024年12月31日，单位共有公务用车1辆，其中：轿车1辆、越野车0辆、载客汽车0辆。</w:t>
      </w:r>
    </w:p>
    <w:p>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出1.13</w:t>
      </w:r>
      <w:r>
        <w:rPr>
          <w:rFonts w:hint="eastAsia" w:eastAsia="仿宋_GB2312" w:cs="仿宋_GB2312"/>
          <w:sz w:val="32"/>
          <w:szCs w:val="32"/>
        </w:rPr>
        <w:t>万元。</w:t>
      </w:r>
      <w:r>
        <w:rPr>
          <w:rFonts w:hint="eastAsia" w:ascii="仿宋_GB2312" w:eastAsia="仿宋_GB2312"/>
          <w:sz w:val="32"/>
          <w:szCs w:val="32"/>
        </w:rPr>
        <w:t>数字城管及12345热线工作检查及日常办公等</w:t>
      </w:r>
      <w:r>
        <w:rPr>
          <w:rFonts w:hint="eastAsia" w:eastAsia="仿宋_GB2312" w:cs="仿宋_GB2312"/>
          <w:sz w:val="32"/>
          <w:szCs w:val="32"/>
        </w:rPr>
        <w:t>所需的公务用车燃料费、维修费、过路过桥费、保险费等支出。</w:t>
      </w:r>
    </w:p>
    <w:p>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元，完成预算0%。</w:t>
      </w:r>
      <w:r>
        <w:rPr>
          <w:rFonts w:hint="eastAsia" w:eastAsia="仿宋_GB2312" w:cs="仿宋_GB2312"/>
          <w:sz w:val="32"/>
          <w:szCs w:val="32"/>
        </w:rPr>
        <w:t>公务接待费支出决算比2023年度减少0.26万元，下降100%。主要原因是根据实际情况，未产生公务接待费用。其中：</w:t>
      </w:r>
    </w:p>
    <w:p>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出0万</w:t>
      </w:r>
      <w:r>
        <w:rPr>
          <w:rFonts w:hint="eastAsia" w:eastAsia="仿宋_GB2312" w:cs="仿宋_GB2312"/>
          <w:sz w:val="32"/>
          <w:szCs w:val="32"/>
        </w:rPr>
        <w:t>元。国内公务接</w:t>
      </w:r>
      <w:r>
        <w:rPr>
          <w:rFonts w:hint="eastAsia" w:ascii="仿宋_GB2312" w:hAnsi="仿宋_GB2312" w:eastAsia="仿宋_GB2312" w:cs="仿宋_GB2312"/>
          <w:sz w:val="32"/>
          <w:szCs w:val="32"/>
        </w:rPr>
        <w:t>待0批次，0</w:t>
      </w:r>
      <w:r>
        <w:rPr>
          <w:rFonts w:hint="eastAsia" w:eastAsia="仿宋_GB2312" w:cs="仿宋_GB2312"/>
          <w:sz w:val="32"/>
          <w:szCs w:val="32"/>
        </w:rPr>
        <w:t>人次（不包括陪同人员），共计支出0万元。</w:t>
      </w:r>
    </w:p>
    <w:p>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出0万元。外事接待0批次，0人次（不包括陪同人员），共计支出0万</w:t>
      </w:r>
      <w:r>
        <w:rPr>
          <w:rFonts w:hint="eastAsia" w:eastAsia="仿宋_GB2312" w:cs="仿宋_GB2312"/>
          <w:sz w:val="32"/>
          <w:szCs w:val="32"/>
        </w:rPr>
        <w:t>元。</w:t>
      </w:r>
      <w:bookmarkStart w:id="92" w:name="_Toc15377218"/>
      <w:bookmarkStart w:id="93" w:name="_Toc15396610"/>
    </w:p>
    <w:p>
      <w:pPr>
        <w:spacing w:line="600" w:lineRule="exact"/>
        <w:ind w:firstLine="640"/>
        <w:outlineLvl w:val="1"/>
        <w:rPr>
          <w:rStyle w:val="29"/>
          <w:rFonts w:ascii="Times New Roman" w:hAnsi="Times New Roman" w:eastAsia="黑体"/>
        </w:rPr>
      </w:pPr>
      <w:bookmarkStart w:id="94" w:name="_Toc208822983"/>
      <w:bookmarkStart w:id="95" w:name="_Toc2531"/>
      <w:bookmarkStart w:id="96" w:name="_Toc24506"/>
      <w:r>
        <w:rPr>
          <w:rFonts w:hint="eastAsia" w:eastAsia="黑体"/>
          <w:sz w:val="32"/>
          <w:szCs w:val="32"/>
        </w:rPr>
        <w:t>八、</w:t>
      </w:r>
      <w:r>
        <w:rPr>
          <w:rStyle w:val="29"/>
          <w:rFonts w:hint="eastAsia" w:ascii="Times New Roman" w:hAnsi="Times New Roman" w:eastAsia="黑体"/>
          <w:b w:val="0"/>
        </w:rPr>
        <w:t>政府性基金预算支出决算情况说明</w:t>
      </w:r>
      <w:bookmarkEnd w:id="92"/>
      <w:bookmarkEnd w:id="93"/>
      <w:bookmarkEnd w:id="94"/>
      <w:bookmarkEnd w:id="95"/>
      <w:bookmarkEnd w:id="96"/>
    </w:p>
    <w:p>
      <w:pPr>
        <w:spacing w:line="600" w:lineRule="exact"/>
        <w:ind w:firstLine="640" w:firstLineChars="200"/>
        <w:outlineLvl w:val="1"/>
        <w:rPr>
          <w:rFonts w:eastAsia="仿宋_GB2312" w:cs="仿宋_GB2312"/>
          <w:sz w:val="32"/>
          <w:szCs w:val="32"/>
        </w:rPr>
      </w:pPr>
      <w:bookmarkStart w:id="97" w:name="_Toc208822984"/>
      <w:r>
        <w:rPr>
          <w:rFonts w:hint="eastAsia" w:eastAsia="仿宋_GB2312" w:cs="仿宋_GB2312"/>
          <w:sz w:val="32"/>
          <w:szCs w:val="32"/>
        </w:rPr>
        <w:t>2024年度政府性基金预算财政拨款支出46万元，占本年支出合计的6.63%。与2023年度相比，政府性基金预算财政拨款支出增加46万元，增长100%。主要变动原因是</w:t>
      </w:r>
      <w:bookmarkStart w:id="98" w:name="_Toc15377219"/>
      <w:bookmarkStart w:id="99" w:name="_Toc15396611"/>
      <w:r>
        <w:rPr>
          <w:rFonts w:hint="eastAsia" w:eastAsia="仿宋_GB2312" w:cs="仿宋_GB2312"/>
          <w:sz w:val="32"/>
          <w:szCs w:val="32"/>
        </w:rPr>
        <w:t>根据财政下达资金支付项目款。</w:t>
      </w:r>
      <w:bookmarkEnd w:id="97"/>
    </w:p>
    <w:p>
      <w:pPr>
        <w:spacing w:line="600" w:lineRule="exact"/>
        <w:ind w:left="630"/>
        <w:outlineLvl w:val="1"/>
        <w:rPr>
          <w:rStyle w:val="29"/>
          <w:rFonts w:ascii="Times New Roman" w:hAnsi="Times New Roman" w:eastAsia="黑体"/>
          <w:b w:val="0"/>
        </w:rPr>
      </w:pPr>
      <w:bookmarkStart w:id="100" w:name="_Toc208822985"/>
      <w:bookmarkStart w:id="101" w:name="_Toc19341"/>
      <w:bookmarkStart w:id="102" w:name="_Toc2510"/>
      <w:r>
        <w:rPr>
          <w:rStyle w:val="29"/>
          <w:rFonts w:hint="eastAsia" w:ascii="Times New Roman" w:hAnsi="Times New Roman" w:eastAsia="黑体"/>
          <w:b w:val="0"/>
        </w:rPr>
        <w:t>九、国有资本经营预算支出决算情况说明</w:t>
      </w:r>
      <w:bookmarkEnd w:id="98"/>
      <w:bookmarkEnd w:id="99"/>
      <w:bookmarkEnd w:id="100"/>
      <w:bookmarkEnd w:id="101"/>
      <w:bookmarkEnd w:id="102"/>
    </w:p>
    <w:p>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。与2023年度相比，国有资本经营预算财政拨款支出增加0万元，增长0%。</w:t>
      </w:r>
    </w:p>
    <w:p>
      <w:pPr>
        <w:spacing w:line="600" w:lineRule="exact"/>
        <w:ind w:left="630"/>
        <w:outlineLvl w:val="1"/>
        <w:rPr>
          <w:rStyle w:val="29"/>
          <w:rFonts w:ascii="Times New Roman" w:hAnsi="Times New Roman" w:eastAsia="黑体"/>
          <w:b w:val="0"/>
        </w:rPr>
      </w:pPr>
      <w:bookmarkStart w:id="103" w:name="_Toc5943"/>
      <w:bookmarkStart w:id="104" w:name="_Toc9507"/>
      <w:bookmarkStart w:id="105" w:name="_Toc15396612"/>
      <w:bookmarkStart w:id="106" w:name="_Toc208822986"/>
      <w:bookmarkStart w:id="107" w:name="_Toc15377221"/>
      <w:r>
        <w:rPr>
          <w:rStyle w:val="29"/>
          <w:rFonts w:hint="eastAsia" w:ascii="Times New Roman" w:hAnsi="Times New Roman" w:eastAsia="黑体"/>
          <w:b w:val="0"/>
        </w:rPr>
        <w:t>十、其他重要事项的情况说明</w:t>
      </w:r>
      <w:bookmarkEnd w:id="103"/>
      <w:bookmarkEnd w:id="104"/>
      <w:bookmarkEnd w:id="105"/>
      <w:bookmarkEnd w:id="106"/>
      <w:bookmarkEnd w:id="107"/>
    </w:p>
    <w:p>
      <w:pPr>
        <w:spacing w:line="600" w:lineRule="exact"/>
        <w:ind w:firstLine="642" w:firstLineChars="200"/>
        <w:outlineLvl w:val="2"/>
        <w:rPr>
          <w:rFonts w:eastAsia="楷体_GB2312" w:cs="楷体_GB2312"/>
          <w:b/>
          <w:sz w:val="32"/>
          <w:szCs w:val="32"/>
        </w:rPr>
      </w:pPr>
      <w:bookmarkStart w:id="108" w:name="_Toc15377222"/>
      <w:bookmarkStart w:id="109" w:name="_Toc434"/>
      <w:bookmarkStart w:id="110" w:name="_Toc208822987"/>
      <w:r>
        <w:rPr>
          <w:rFonts w:hint="eastAsia" w:eastAsia="楷体_GB2312" w:cs="楷体_GB2312"/>
          <w:b/>
          <w:sz w:val="32"/>
          <w:szCs w:val="32"/>
        </w:rPr>
        <w:t>（一）机关运行经费支出情况</w:t>
      </w:r>
      <w:bookmarkEnd w:id="108"/>
      <w:bookmarkEnd w:id="109"/>
      <w:bookmarkEnd w:id="110"/>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，攀枝花市数字化城市联动指挥中心机关运行经费支出0万</w:t>
      </w:r>
      <w:r>
        <w:rPr>
          <w:rFonts w:hint="eastAsia" w:eastAsia="仿宋_GB2312" w:cs="仿宋_GB2312"/>
          <w:sz w:val="32"/>
          <w:szCs w:val="32"/>
        </w:rPr>
        <w:t>元，比2023年度增加0万元，增长0%。</w:t>
      </w:r>
    </w:p>
    <w:p>
      <w:pPr>
        <w:spacing w:line="600" w:lineRule="exact"/>
        <w:ind w:firstLine="642" w:firstLineChars="200"/>
        <w:outlineLvl w:val="2"/>
        <w:rPr>
          <w:rFonts w:eastAsia="楷体_GB2312" w:cs="楷体_GB2312"/>
          <w:b/>
          <w:sz w:val="32"/>
          <w:szCs w:val="32"/>
        </w:rPr>
      </w:pPr>
      <w:bookmarkStart w:id="111" w:name="_Toc7054"/>
      <w:bookmarkStart w:id="112" w:name="_Toc208822988"/>
      <w:bookmarkStart w:id="113" w:name="_Toc15377223"/>
      <w:r>
        <w:rPr>
          <w:rFonts w:hint="eastAsia" w:eastAsia="楷体_GB2312" w:cs="楷体_GB2312"/>
          <w:b/>
          <w:sz w:val="32"/>
          <w:szCs w:val="32"/>
        </w:rPr>
        <w:t>（二）政府采购支出情况</w:t>
      </w:r>
      <w:bookmarkEnd w:id="111"/>
      <w:bookmarkEnd w:id="112"/>
      <w:bookmarkEnd w:id="113"/>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2024年度，攀枝花市数字化城市联动指挥中心政府采购支出总额0.43万元，其中：政府采购货物支出0万元、政府采购工程支出0万元、政府采购服务支出0.43万元。主要用于</w:t>
      </w:r>
      <w:r>
        <w:rPr>
          <w:rFonts w:hint="eastAsia" w:eastAsia="仿宋_GB2312" w:cs="仿宋_GB2312"/>
          <w:sz w:val="32"/>
          <w:szCs w:val="32"/>
        </w:rPr>
        <w:t>公务用车燃料费、保险费等支出。</w:t>
      </w:r>
      <w:r>
        <w:rPr>
          <w:rFonts w:hint="eastAsia" w:ascii="仿宋_GB2312" w:hAnsi="仿宋_GB2312" w:eastAsia="仿宋_GB2312" w:cs="仿宋_GB2312"/>
          <w:sz w:val="32"/>
          <w:szCs w:val="32"/>
        </w:rPr>
        <w:t>授予中小企业合同金额0.27万元，占政府采购支出总额的62.39%，其中：授予小微企业合同金额0万元，占政府采购支出总额的0%。</w:t>
      </w:r>
    </w:p>
    <w:p>
      <w:pPr>
        <w:spacing w:line="600" w:lineRule="exact"/>
        <w:ind w:firstLine="642" w:firstLineChars="200"/>
        <w:outlineLvl w:val="2"/>
        <w:rPr>
          <w:rFonts w:eastAsia="楷体_GB2312" w:cs="楷体_GB2312"/>
          <w:b/>
          <w:sz w:val="32"/>
          <w:szCs w:val="32"/>
        </w:rPr>
      </w:pPr>
      <w:bookmarkStart w:id="114" w:name="_Toc208822989"/>
      <w:bookmarkStart w:id="115" w:name="_Toc19901"/>
      <w:bookmarkStart w:id="116" w:name="_Toc15377224"/>
      <w:r>
        <w:rPr>
          <w:rFonts w:hint="eastAsia" w:eastAsia="楷体_GB2312" w:cs="楷体_GB2312"/>
          <w:b/>
          <w:sz w:val="32"/>
          <w:szCs w:val="32"/>
        </w:rPr>
        <w:t>（三）国有资产占有使用情况</w:t>
      </w:r>
      <w:bookmarkEnd w:id="114"/>
      <w:bookmarkEnd w:id="115"/>
      <w:bookmarkEnd w:id="116"/>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截至2024年12月31日，四川省攀枝花市数字化城市联动指挥中心共有车辆1辆，其中：主要负责人用车0辆、机要通信用车0辆、应急保障用车0辆、其他用车1辆，其他用车主要是用于</w:t>
      </w:r>
      <w:r>
        <w:rPr>
          <w:rFonts w:hint="eastAsia" w:ascii="仿宋_GB2312" w:eastAsia="仿宋_GB2312"/>
          <w:sz w:val="32"/>
          <w:szCs w:val="32"/>
        </w:rPr>
        <w:t>数字城管及12345热线工作检查及日常办公</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bookmarkStart w:id="117" w:name="_Toc208822990"/>
      <w:bookmarkStart w:id="118" w:name="_Toc21720"/>
      <w:r>
        <w:rPr>
          <w:rFonts w:hint="eastAsia" w:eastAsia="楷体_GB2312" w:cs="楷体_GB2312"/>
          <w:b/>
          <w:sz w:val="32"/>
          <w:szCs w:val="32"/>
        </w:rPr>
        <w:t>（四）预算绩效管理情况</w:t>
      </w:r>
      <w:bookmarkEnd w:id="117"/>
      <w:bookmarkEnd w:id="118"/>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ascii="仿宋_GB2312" w:hAnsi="仿宋_GB2312" w:eastAsia="仿宋_GB2312" w:cs="仿宋_GB2312"/>
          <w:sz w:val="32"/>
          <w:szCs w:val="32"/>
        </w:rPr>
        <w:t>四川省攀枝花市数字化城市联动指挥中心</w:t>
      </w:r>
      <w:r>
        <w:rPr>
          <w:rFonts w:hint="eastAsia" w:eastAsia="仿宋_GB2312" w:cs="仿宋_GB2312"/>
          <w:sz w:val="32"/>
          <w:szCs w:val="32"/>
        </w:rPr>
        <w:t>在2024年度预算编制阶段，组织5个项目开展了预算事前绩效评估，对5个项目编制了绩效目标，预算执行过程中，选取5个项目开展绩效监控。</w:t>
      </w:r>
    </w:p>
    <w:p>
      <w:pPr>
        <w:pStyle w:val="2"/>
        <w:spacing w:before="93"/>
        <w:rPr>
          <w:rFonts w:ascii="Times New Roman" w:cs="仿宋_GB2312"/>
          <w:kern w:val="2"/>
          <w:sz w:val="32"/>
          <w:szCs w:val="32"/>
        </w:rPr>
      </w:pPr>
    </w:p>
    <w:p>
      <w:pPr>
        <w:spacing w:line="600" w:lineRule="exact"/>
        <w:jc w:val="center"/>
        <w:outlineLvl w:val="0"/>
        <w:rPr>
          <w:rFonts w:eastAsia="黑体"/>
          <w:sz w:val="44"/>
          <w:szCs w:val="44"/>
        </w:rPr>
      </w:pPr>
      <w:bookmarkStart w:id="119" w:name="_Toc15396613"/>
      <w:bookmarkStart w:id="120" w:name="_Toc208822991"/>
      <w:bookmarkStart w:id="121" w:name="_Toc18340"/>
      <w:bookmarkStart w:id="122" w:name="_Toc15377225"/>
      <w:bookmarkStart w:id="123" w:name="_Toc20415"/>
      <w:r>
        <w:rPr>
          <w:rFonts w:hint="eastAsia" w:eastAsia="黑体"/>
          <w:sz w:val="44"/>
          <w:szCs w:val="44"/>
        </w:rPr>
        <w:t>第三部分  名词解释</w:t>
      </w:r>
      <w:bookmarkEnd w:id="119"/>
      <w:bookmarkEnd w:id="120"/>
      <w:bookmarkEnd w:id="121"/>
      <w:bookmarkEnd w:id="122"/>
      <w:bookmarkEnd w:id="123"/>
    </w:p>
    <w:p>
      <w:pPr>
        <w:spacing w:line="600" w:lineRule="exact"/>
        <w:jc w:val="left"/>
        <w:rPr>
          <w:b/>
          <w:sz w:val="44"/>
          <w:szCs w:val="44"/>
        </w:rPr>
      </w:pPr>
    </w:p>
    <w:p>
      <w:pPr>
        <w:spacing w:line="600" w:lineRule="exact"/>
        <w:ind w:firstLine="640" w:firstLineChars="200"/>
        <w:rPr>
          <w:rFonts w:ascii="仿宋_GB2312" w:eastAsia="仿宋_GB2312"/>
          <w:sz w:val="32"/>
          <w:szCs w:val="32"/>
        </w:rPr>
      </w:pPr>
      <w:bookmarkStart w:id="124" w:name="_Toc15377226"/>
      <w:r>
        <w:rPr>
          <w:rFonts w:hint="eastAsia" w:ascii="仿宋_GB2312" w:eastAsia="仿宋_GB2312"/>
          <w:sz w:val="32"/>
          <w:szCs w:val="32"/>
        </w:rPr>
        <w:t>1.一般公共预算拨款收入：指市级财政当年拨付的资金。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2.社会保障和就业支出（类）行政事业单位养老支出（款）机关事业单位基本养老保险缴费支出（项）是指行政事业单位用于缴纳单位基本养老保险的支出；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3.城乡社区支出（类）城乡社区环境卫生（款）其他城乡社区管理事务支出（项）是指事业单位用于发放职工薪酬、维护单位正常运行的各项支出；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4.住房保障支出（类）住房改革支出（款）住房公积金（项）是指单位用于缴纳单位负担部分住房公积金的支出；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5.卫生健康支出（类）行政事业单位医疗（款）事业单位医疗（项）是指单位用于缴纳单位负担部分职工基本医疗保险的支出；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6.卫生健康支出（类）行政事业单位医疗（款）公务员医疗补助（项）是指单位用于缴纳单位负担部分职工公务员医疗补助；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7.卫生健康支出（类）行政事业单位医疗（款）其他行政事业单位医疗支出（项）是指单位用于缴纳职工补充医疗保险补助。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8.基本支出：指为保证机构正常运转，完成日常工作任务而发生的人员支出和公用支出。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9.项目支出：指在基本支出之外为完成特定的工作任务和事业发展目标所发生的支出。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ascii="仿宋_GB2312" w:eastAsia="仿宋_GB2312"/>
          <w:sz w:val="32"/>
          <w:szCs w:val="32"/>
        </w:rPr>
      </w:pPr>
    </w:p>
    <w:p>
      <w:pPr>
        <w:spacing w:line="600" w:lineRule="exact"/>
        <w:jc w:val="center"/>
        <w:rPr>
          <w:rStyle w:val="28"/>
          <w:rFonts w:eastAsia="黑体"/>
          <w:b w:val="0"/>
        </w:rPr>
      </w:pPr>
      <w:r>
        <w:rPr>
          <w:rFonts w:hint="eastAsia" w:eastAsia="仿宋_GB2312" w:cs="仿宋_GB2312"/>
          <w:sz w:val="32"/>
          <w:szCs w:val="32"/>
        </w:rPr>
        <w:br w:type="page"/>
      </w:r>
      <w:bookmarkStart w:id="125" w:name="_Toc13015"/>
      <w:bookmarkStart w:id="126" w:name="_Toc15396614"/>
      <w:bookmarkStart w:id="127" w:name="_Toc32519"/>
      <w:r>
        <w:rPr>
          <w:rFonts w:hint="eastAsia" w:eastAsia="黑体"/>
          <w:sz w:val="44"/>
          <w:szCs w:val="44"/>
        </w:rPr>
        <w:t>第四部分  附件</w:t>
      </w:r>
      <w:bookmarkEnd w:id="125"/>
      <w:bookmarkEnd w:id="126"/>
      <w:bookmarkEnd w:id="127"/>
    </w:p>
    <w:p>
      <w:pPr>
        <w:spacing w:line="572" w:lineRule="exact"/>
        <w:jc w:val="left"/>
        <w:outlineLvl w:val="0"/>
        <w:rPr>
          <w:rFonts w:eastAsia="黑体" w:cs="黑体"/>
          <w:color w:val="FF0000"/>
          <w:sz w:val="32"/>
          <w:szCs w:val="32"/>
        </w:rPr>
      </w:pPr>
    </w:p>
    <w:p>
      <w:pPr>
        <w:pStyle w:val="2"/>
        <w:spacing w:before="93"/>
        <w:ind w:firstLine="640" w:firstLineChars="200"/>
        <w:rPr>
          <w:sz w:val="32"/>
          <w:szCs w:val="32"/>
        </w:rPr>
      </w:pPr>
      <w:r>
        <w:rPr>
          <w:rFonts w:hint="eastAsia"/>
          <w:sz w:val="32"/>
          <w:szCs w:val="32"/>
        </w:rPr>
        <w:t>部门预算项目支出绩效自评表（2024年度）见附件3。</w:t>
      </w: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p>
    <w:p>
      <w:pPr>
        <w:widowControl/>
        <w:jc w:val="center"/>
        <w:rPr>
          <w:rFonts w:eastAsia="仿宋"/>
        </w:rPr>
      </w:pPr>
      <w:bookmarkStart w:id="128" w:name="_Toc15396618"/>
      <w:bookmarkStart w:id="129" w:name="_Toc16599"/>
      <w:bookmarkStart w:id="130" w:name="_Toc13851"/>
      <w:r>
        <w:rPr>
          <w:rFonts w:hint="eastAsia" w:eastAsia="黑体"/>
          <w:sz w:val="44"/>
          <w:szCs w:val="44"/>
        </w:rPr>
        <w:t>第</w:t>
      </w:r>
      <w:r>
        <w:rPr>
          <w:rStyle w:val="28"/>
          <w:rFonts w:hint="eastAsia" w:eastAsia="黑体"/>
          <w:b w:val="0"/>
        </w:rPr>
        <w:t>五部分 附表</w:t>
      </w:r>
      <w:bookmarkEnd w:id="124"/>
      <w:bookmarkEnd w:id="128"/>
      <w:bookmarkEnd w:id="129"/>
      <w:bookmarkEnd w:id="130"/>
      <w:bookmarkStart w:id="131" w:name="_Toc15396619"/>
    </w:p>
    <w:p>
      <w:pPr>
        <w:pStyle w:val="14"/>
        <w:adjustRightInd w:val="0"/>
        <w:snapToGrid w:val="0"/>
        <w:spacing w:line="560" w:lineRule="exact"/>
        <w:jc w:val="left"/>
        <w:rPr>
          <w:rFonts w:eastAsia="仿宋_GB2312" w:cs="仿宋_GB2312"/>
          <w:sz w:val="32"/>
          <w:szCs w:val="32"/>
        </w:rPr>
      </w:pPr>
    </w:p>
    <w:p>
      <w:pPr>
        <w:pStyle w:val="14"/>
        <w:adjustRightInd w:val="0"/>
        <w:snapToGrid w:val="0"/>
        <w:spacing w:line="560" w:lineRule="exact"/>
        <w:jc w:val="left"/>
        <w:rPr>
          <w:rFonts w:eastAsia="仿宋_GB2312" w:cs="仿宋_GB2312"/>
          <w:sz w:val="32"/>
          <w:szCs w:val="32"/>
        </w:rPr>
      </w:pPr>
      <w:bookmarkStart w:id="132" w:name="_Toc6379"/>
      <w:bookmarkStart w:id="133" w:name="_Toc2900"/>
      <w:r>
        <w:rPr>
          <w:rFonts w:hint="eastAsia" w:eastAsia="仿宋_GB2312" w:cs="仿宋_GB2312"/>
          <w:sz w:val="32"/>
          <w:szCs w:val="32"/>
        </w:rPr>
        <w:t>一、收入支出决算总表</w:t>
      </w:r>
      <w:bookmarkEnd w:id="131"/>
      <w:bookmarkEnd w:id="132"/>
      <w:bookmarkEnd w:id="133"/>
    </w:p>
    <w:p>
      <w:pPr>
        <w:pStyle w:val="14"/>
        <w:adjustRightInd w:val="0"/>
        <w:snapToGrid w:val="0"/>
        <w:spacing w:line="560" w:lineRule="exact"/>
        <w:jc w:val="left"/>
        <w:rPr>
          <w:rFonts w:eastAsia="仿宋_GB2312" w:cs="仿宋_GB2312"/>
          <w:sz w:val="32"/>
          <w:szCs w:val="32"/>
        </w:rPr>
      </w:pPr>
      <w:bookmarkStart w:id="134" w:name="_Toc9661"/>
      <w:bookmarkStart w:id="135" w:name="_Toc21154"/>
      <w:bookmarkStart w:id="136" w:name="_Toc15396620"/>
      <w:r>
        <w:rPr>
          <w:rFonts w:hint="eastAsia" w:eastAsia="仿宋_GB2312" w:cs="仿宋_GB2312"/>
          <w:sz w:val="32"/>
          <w:szCs w:val="32"/>
        </w:rPr>
        <w:t>二、收入决算表</w:t>
      </w:r>
      <w:bookmarkEnd w:id="134"/>
      <w:bookmarkEnd w:id="135"/>
      <w:bookmarkEnd w:id="136"/>
    </w:p>
    <w:p>
      <w:pPr>
        <w:pStyle w:val="14"/>
        <w:adjustRightInd w:val="0"/>
        <w:snapToGrid w:val="0"/>
        <w:spacing w:line="560" w:lineRule="exact"/>
        <w:jc w:val="left"/>
        <w:rPr>
          <w:rFonts w:eastAsia="仿宋_GB2312" w:cs="仿宋_GB2312"/>
          <w:sz w:val="32"/>
          <w:szCs w:val="32"/>
        </w:rPr>
      </w:pPr>
      <w:bookmarkStart w:id="137" w:name="_Toc11250"/>
      <w:bookmarkStart w:id="138" w:name="_Toc15396621"/>
      <w:bookmarkStart w:id="139" w:name="_Toc18198"/>
      <w:r>
        <w:rPr>
          <w:rFonts w:hint="eastAsia" w:eastAsia="仿宋_GB2312" w:cs="仿宋_GB2312"/>
          <w:sz w:val="32"/>
          <w:szCs w:val="32"/>
        </w:rPr>
        <w:t>三、支出决算表</w:t>
      </w:r>
      <w:bookmarkEnd w:id="137"/>
      <w:bookmarkEnd w:id="138"/>
      <w:bookmarkEnd w:id="139"/>
    </w:p>
    <w:p>
      <w:pPr>
        <w:pStyle w:val="14"/>
        <w:adjustRightInd w:val="0"/>
        <w:snapToGrid w:val="0"/>
        <w:spacing w:line="560" w:lineRule="exact"/>
        <w:jc w:val="left"/>
        <w:rPr>
          <w:rFonts w:eastAsia="仿宋_GB2312" w:cs="仿宋_GB2312"/>
          <w:sz w:val="32"/>
          <w:szCs w:val="32"/>
        </w:rPr>
      </w:pPr>
      <w:bookmarkStart w:id="140" w:name="_Toc15396622"/>
      <w:bookmarkStart w:id="141" w:name="_Toc3750"/>
      <w:bookmarkStart w:id="142" w:name="_Toc28147"/>
      <w:r>
        <w:rPr>
          <w:rFonts w:hint="eastAsia" w:eastAsia="仿宋_GB2312" w:cs="仿宋_GB2312"/>
          <w:sz w:val="32"/>
          <w:szCs w:val="32"/>
        </w:rPr>
        <w:t>四、财政拨款收入支出决算总表</w:t>
      </w:r>
      <w:bookmarkEnd w:id="140"/>
      <w:bookmarkEnd w:id="141"/>
      <w:bookmarkEnd w:id="142"/>
    </w:p>
    <w:p>
      <w:pPr>
        <w:pStyle w:val="14"/>
        <w:adjustRightInd w:val="0"/>
        <w:snapToGrid w:val="0"/>
        <w:spacing w:line="560" w:lineRule="exact"/>
        <w:jc w:val="left"/>
        <w:rPr>
          <w:rFonts w:eastAsia="仿宋_GB2312" w:cs="仿宋_GB2312"/>
          <w:sz w:val="32"/>
          <w:szCs w:val="32"/>
        </w:rPr>
      </w:pPr>
      <w:bookmarkStart w:id="143" w:name="_Toc15396623"/>
      <w:bookmarkStart w:id="144" w:name="_Toc27461"/>
      <w:bookmarkStart w:id="145" w:name="_Toc27681"/>
      <w:r>
        <w:rPr>
          <w:rFonts w:hint="eastAsia" w:eastAsia="仿宋_GB2312" w:cs="仿宋_GB2312"/>
          <w:sz w:val="32"/>
          <w:szCs w:val="32"/>
        </w:rPr>
        <w:t>五、财政拨款支出决算明细表</w:t>
      </w:r>
      <w:bookmarkEnd w:id="143"/>
      <w:bookmarkEnd w:id="144"/>
      <w:bookmarkEnd w:id="145"/>
      <w:bookmarkStart w:id="146" w:name="_Toc15396624"/>
    </w:p>
    <w:p>
      <w:pPr>
        <w:pStyle w:val="14"/>
        <w:adjustRightInd w:val="0"/>
        <w:snapToGrid w:val="0"/>
        <w:spacing w:line="560" w:lineRule="exact"/>
        <w:jc w:val="left"/>
        <w:rPr>
          <w:rFonts w:eastAsia="仿宋_GB2312" w:cs="仿宋_GB2312"/>
          <w:sz w:val="32"/>
          <w:szCs w:val="32"/>
        </w:rPr>
      </w:pPr>
      <w:bookmarkStart w:id="147" w:name="_Toc9665"/>
      <w:bookmarkStart w:id="148" w:name="_Toc3674"/>
      <w:r>
        <w:rPr>
          <w:rFonts w:hint="eastAsia" w:eastAsia="仿宋_GB2312" w:cs="仿宋_GB2312"/>
          <w:sz w:val="32"/>
          <w:szCs w:val="32"/>
        </w:rPr>
        <w:t>六、一般公共预算财政拨款支出决算表</w:t>
      </w:r>
      <w:bookmarkEnd w:id="146"/>
      <w:bookmarkEnd w:id="147"/>
      <w:bookmarkEnd w:id="148"/>
    </w:p>
    <w:p>
      <w:pPr>
        <w:pStyle w:val="14"/>
        <w:adjustRightInd w:val="0"/>
        <w:snapToGrid w:val="0"/>
        <w:spacing w:line="560" w:lineRule="exact"/>
        <w:jc w:val="left"/>
        <w:rPr>
          <w:rFonts w:eastAsia="仿宋_GB2312" w:cs="仿宋_GB2312"/>
          <w:sz w:val="32"/>
          <w:szCs w:val="32"/>
        </w:rPr>
      </w:pPr>
      <w:bookmarkStart w:id="149" w:name="_Toc10660"/>
      <w:bookmarkStart w:id="150" w:name="_Toc15396625"/>
      <w:bookmarkStart w:id="151" w:name="_Toc12828"/>
      <w:r>
        <w:rPr>
          <w:rFonts w:hint="eastAsia" w:eastAsia="仿宋_GB2312" w:cs="仿宋_GB2312"/>
          <w:sz w:val="32"/>
          <w:szCs w:val="32"/>
        </w:rPr>
        <w:t>七、一般公共预算财政拨款支出决算明细表</w:t>
      </w:r>
      <w:bookmarkEnd w:id="149"/>
      <w:bookmarkEnd w:id="150"/>
      <w:bookmarkEnd w:id="151"/>
    </w:p>
    <w:p>
      <w:pPr>
        <w:pStyle w:val="14"/>
        <w:adjustRightInd w:val="0"/>
        <w:snapToGrid w:val="0"/>
        <w:spacing w:line="560" w:lineRule="exact"/>
        <w:jc w:val="left"/>
        <w:rPr>
          <w:rFonts w:eastAsia="仿宋_GB2312" w:cs="仿宋_GB2312"/>
          <w:sz w:val="32"/>
          <w:szCs w:val="32"/>
        </w:rPr>
      </w:pPr>
      <w:bookmarkStart w:id="152" w:name="_Toc15396626"/>
      <w:bookmarkStart w:id="153" w:name="_Toc14402"/>
      <w:bookmarkStart w:id="154" w:name="_Toc25573"/>
      <w:r>
        <w:rPr>
          <w:rFonts w:hint="eastAsia" w:eastAsia="仿宋_GB2312" w:cs="仿宋_GB2312"/>
          <w:sz w:val="32"/>
          <w:szCs w:val="32"/>
        </w:rPr>
        <w:t>八、一般公共预算财政拨款基本支出决算表</w:t>
      </w:r>
      <w:bookmarkEnd w:id="152"/>
      <w:bookmarkEnd w:id="153"/>
      <w:bookmarkEnd w:id="154"/>
    </w:p>
    <w:p>
      <w:pPr>
        <w:pStyle w:val="14"/>
        <w:adjustRightInd w:val="0"/>
        <w:snapToGrid w:val="0"/>
        <w:spacing w:line="560" w:lineRule="exact"/>
        <w:jc w:val="left"/>
        <w:rPr>
          <w:rFonts w:eastAsia="仿宋_GB2312" w:cs="仿宋_GB2312"/>
          <w:sz w:val="32"/>
          <w:szCs w:val="32"/>
        </w:rPr>
      </w:pPr>
      <w:bookmarkStart w:id="155" w:name="_Toc15396627"/>
      <w:bookmarkStart w:id="156" w:name="_Toc24447"/>
      <w:bookmarkStart w:id="157" w:name="_Toc915"/>
      <w:r>
        <w:rPr>
          <w:rFonts w:hint="eastAsia" w:eastAsia="仿宋_GB2312" w:cs="仿宋_GB2312"/>
          <w:sz w:val="32"/>
          <w:szCs w:val="32"/>
        </w:rPr>
        <w:t>九、一般公共预算财政拨款项目支出决算表</w:t>
      </w:r>
      <w:bookmarkEnd w:id="155"/>
      <w:bookmarkEnd w:id="156"/>
      <w:bookmarkEnd w:id="157"/>
    </w:p>
    <w:p>
      <w:pPr>
        <w:pStyle w:val="14"/>
        <w:adjustRightInd w:val="0"/>
        <w:snapToGrid w:val="0"/>
        <w:spacing w:line="560" w:lineRule="exact"/>
        <w:jc w:val="left"/>
        <w:rPr>
          <w:rFonts w:eastAsia="仿宋_GB2312" w:cs="仿宋_GB2312"/>
          <w:sz w:val="32"/>
          <w:szCs w:val="32"/>
        </w:rPr>
      </w:pPr>
      <w:bookmarkStart w:id="158" w:name="_Toc15396628"/>
      <w:bookmarkStart w:id="159" w:name="_Toc6312"/>
      <w:bookmarkStart w:id="160" w:name="_Toc21224"/>
      <w:r>
        <w:rPr>
          <w:rFonts w:hint="eastAsia" w:eastAsia="仿宋_GB2312" w:cs="仿宋_GB2312"/>
          <w:sz w:val="32"/>
          <w:szCs w:val="32"/>
        </w:rPr>
        <w:t>十、</w:t>
      </w:r>
      <w:bookmarkEnd w:id="158"/>
      <w:r>
        <w:rPr>
          <w:rFonts w:hint="eastAsia" w:eastAsia="仿宋_GB2312" w:cs="仿宋_GB2312"/>
          <w:sz w:val="32"/>
          <w:szCs w:val="32"/>
        </w:rPr>
        <w:t>政府性基金预算财政拨款收入支出决算表</w:t>
      </w:r>
      <w:bookmarkEnd w:id="159"/>
      <w:bookmarkEnd w:id="160"/>
    </w:p>
    <w:p>
      <w:pPr>
        <w:pStyle w:val="14"/>
        <w:adjustRightInd w:val="0"/>
        <w:snapToGrid w:val="0"/>
        <w:spacing w:line="560" w:lineRule="exact"/>
        <w:jc w:val="left"/>
        <w:rPr>
          <w:rFonts w:eastAsia="仿宋_GB2312" w:cs="仿宋_GB2312"/>
          <w:sz w:val="32"/>
          <w:szCs w:val="32"/>
        </w:rPr>
      </w:pPr>
      <w:bookmarkStart w:id="161" w:name="_Toc15396629"/>
      <w:bookmarkStart w:id="162" w:name="_Toc15036"/>
      <w:bookmarkStart w:id="163" w:name="_Toc7874"/>
      <w:r>
        <w:rPr>
          <w:rFonts w:hint="eastAsia" w:eastAsia="仿宋_GB2312" w:cs="仿宋_GB2312"/>
          <w:sz w:val="32"/>
          <w:szCs w:val="32"/>
        </w:rPr>
        <w:t>十一、</w:t>
      </w:r>
      <w:bookmarkEnd w:id="161"/>
      <w:r>
        <w:rPr>
          <w:rFonts w:hint="eastAsia" w:eastAsia="仿宋_GB2312" w:cs="仿宋_GB2312"/>
          <w:sz w:val="32"/>
          <w:szCs w:val="32"/>
        </w:rPr>
        <w:t>国有资本经营预算财政拨款收入支出决算表</w:t>
      </w:r>
      <w:bookmarkEnd w:id="162"/>
      <w:bookmarkEnd w:id="163"/>
    </w:p>
    <w:p>
      <w:pPr>
        <w:pStyle w:val="14"/>
        <w:adjustRightInd w:val="0"/>
        <w:snapToGrid w:val="0"/>
        <w:spacing w:line="560" w:lineRule="exact"/>
        <w:jc w:val="left"/>
        <w:rPr>
          <w:rFonts w:eastAsia="仿宋_GB2312" w:cs="仿宋_GB2312"/>
          <w:sz w:val="32"/>
          <w:szCs w:val="32"/>
        </w:rPr>
      </w:pPr>
      <w:bookmarkStart w:id="164" w:name="_Toc15396630"/>
      <w:bookmarkStart w:id="165" w:name="_Toc1223"/>
      <w:bookmarkStart w:id="166" w:name="_Toc5973"/>
      <w:r>
        <w:rPr>
          <w:rFonts w:hint="eastAsia" w:eastAsia="仿宋_GB2312" w:cs="仿宋_GB2312"/>
          <w:sz w:val="32"/>
          <w:szCs w:val="32"/>
        </w:rPr>
        <w:t>十二、</w:t>
      </w:r>
      <w:bookmarkEnd w:id="164"/>
      <w:r>
        <w:rPr>
          <w:rFonts w:hint="eastAsia" w:eastAsia="仿宋_GB2312" w:cs="仿宋_GB2312"/>
          <w:sz w:val="32"/>
          <w:szCs w:val="32"/>
        </w:rPr>
        <w:t>国有资本经营预算财政拨款支出决算表</w:t>
      </w:r>
      <w:bookmarkEnd w:id="165"/>
      <w:bookmarkEnd w:id="166"/>
    </w:p>
    <w:p>
      <w:pPr>
        <w:pStyle w:val="14"/>
        <w:adjustRightInd w:val="0"/>
        <w:snapToGrid w:val="0"/>
        <w:spacing w:line="560" w:lineRule="exact"/>
        <w:jc w:val="left"/>
        <w:rPr>
          <w:rFonts w:eastAsia="仿宋_GB2312" w:cs="仿宋_GB2312"/>
          <w:sz w:val="32"/>
          <w:szCs w:val="32"/>
        </w:rPr>
      </w:pPr>
      <w:bookmarkStart w:id="167" w:name="_Toc15396631"/>
      <w:bookmarkStart w:id="168" w:name="_Toc15398"/>
      <w:bookmarkStart w:id="169" w:name="_Toc2820"/>
      <w:r>
        <w:rPr>
          <w:rFonts w:hint="eastAsia" w:eastAsia="仿宋_GB2312" w:cs="仿宋_GB2312"/>
          <w:sz w:val="32"/>
          <w:szCs w:val="32"/>
        </w:rPr>
        <w:t>十三、</w:t>
      </w:r>
      <w:bookmarkEnd w:id="167"/>
      <w:r>
        <w:rPr>
          <w:rFonts w:hint="eastAsia" w:eastAsia="仿宋_GB2312" w:cs="仿宋_GB2312"/>
          <w:sz w:val="32"/>
          <w:szCs w:val="32"/>
        </w:rPr>
        <w:t>财政拨款“三公”经费支出决算表</w:t>
      </w:r>
      <w:bookmarkEnd w:id="168"/>
      <w:bookmarkEnd w:id="169"/>
    </w:p>
    <w:p/>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69120"/>
      <w:docPartObj>
        <w:docPartGallery w:val="autotext"/>
      </w:docPartObj>
    </w:sdtPr>
    <w:sdtEndPr>
      <w:rPr>
        <w:rFonts w:asciiTheme="minorEastAsia" w:hAnsiTheme="minorEastAsia" w:eastAsiaTheme="minorEastAsia"/>
        <w:sz w:val="24"/>
        <w:szCs w:val="24"/>
      </w:rPr>
    </w:sdtEndPr>
    <w:sdtContent>
      <w:p>
        <w:pPr>
          <w:pStyle w:val="10"/>
          <w:jc w:val="right"/>
          <w:rPr>
            <w:rFonts w:asciiTheme="minorEastAsia" w:hAnsiTheme="minorEastAsia" w:eastAsiaTheme="minorEastAsia"/>
            <w:sz w:val="24"/>
            <w:szCs w:val="24"/>
          </w:rPr>
        </w:pP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left:418.7pt;margin-top:0pt;height:144pt;width:144pt;mso-position-horizontal-relative:margin;mso-wrap-style:none;z-index:251675648;mso-width-relative:page;mso-height-relative:page;" filled="f" stroked="f" coordsize="21600,21600" o:gfxdata="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99tJLVAAAACQEAAA8AAAAAAAAA&#10;AQAgAAAAIgAAAGRycy9kb3ducmV2LnhtbFBLAQIUABQAAAAIAIdO4kBFwMhyFAIAABUEAAAOAAAA&#10;AAAAAAEAIAAAACQBAABkcnMvZTJvRG9jLnhtbFBLBQYAAAAABgAGAFkBAACqBQAAAAA=&#10;">
          <v:path/>
          <v:fill on="f" focussize="0,0"/>
          <v:stroke on="f" weight="0.5pt"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28.25pt;width:42.6pt;mso-position-horizontal:outside;mso-position-horizontal-relative:margin;z-index:251664384;mso-width-relative:page;mso-height-relative:page;" filled="f" stroked="f" coordsize="21600,21600">
          <v:path/>
          <v:fill on="f" focussize="0,0"/>
          <v:stroke on="f" weight="0.5pt" joinstyle="miter"/>
          <v:imagedata o:title=""/>
          <o:lock v:ext="edit"/>
          <v:textbox inset="0mm,0mm,0mm,0mm">
            <w:txbxContent>
              <w:p>
                <w:pPr>
                  <w:pStyle w:val="10"/>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63738"/>
      <w:docPartObj>
        <w:docPartGallery w:val="autotext"/>
      </w:docPartObj>
    </w:sdtPr>
    <w:sdtContent>
      <w:p>
        <w:pPr>
          <w:pStyle w:val="10"/>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5F713"/>
    <w:multiLevelType w:val="singleLevel"/>
    <w:tmpl w:val="AB35F7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15724"/>
    <w:rsid w:val="000222C6"/>
    <w:rsid w:val="0002549F"/>
    <w:rsid w:val="000468DB"/>
    <w:rsid w:val="00050BD4"/>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41B1"/>
    <w:rsid w:val="00114E9B"/>
    <w:rsid w:val="00142216"/>
    <w:rsid w:val="00144D6A"/>
    <w:rsid w:val="0014729F"/>
    <w:rsid w:val="00157BAB"/>
    <w:rsid w:val="00160524"/>
    <w:rsid w:val="001654D1"/>
    <w:rsid w:val="00174518"/>
    <w:rsid w:val="00175588"/>
    <w:rsid w:val="0018106D"/>
    <w:rsid w:val="001877A7"/>
    <w:rsid w:val="00191536"/>
    <w:rsid w:val="00196687"/>
    <w:rsid w:val="001C0962"/>
    <w:rsid w:val="001D09B6"/>
    <w:rsid w:val="001D7531"/>
    <w:rsid w:val="001E737D"/>
    <w:rsid w:val="001F0592"/>
    <w:rsid w:val="001F7506"/>
    <w:rsid w:val="002006CD"/>
    <w:rsid w:val="00202B36"/>
    <w:rsid w:val="00204B7A"/>
    <w:rsid w:val="00204CDE"/>
    <w:rsid w:val="0021101A"/>
    <w:rsid w:val="00220536"/>
    <w:rsid w:val="00235629"/>
    <w:rsid w:val="002359FE"/>
    <w:rsid w:val="00243F87"/>
    <w:rsid w:val="00246239"/>
    <w:rsid w:val="0025575E"/>
    <w:rsid w:val="00260C38"/>
    <w:rsid w:val="002616C0"/>
    <w:rsid w:val="00261D83"/>
    <w:rsid w:val="00265372"/>
    <w:rsid w:val="002662AA"/>
    <w:rsid w:val="00280496"/>
    <w:rsid w:val="00294DC9"/>
    <w:rsid w:val="00295495"/>
    <w:rsid w:val="002A31DE"/>
    <w:rsid w:val="002B2613"/>
    <w:rsid w:val="002D43C6"/>
    <w:rsid w:val="002D6D05"/>
    <w:rsid w:val="002F1818"/>
    <w:rsid w:val="002F567B"/>
    <w:rsid w:val="003216A9"/>
    <w:rsid w:val="0032548E"/>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587E"/>
    <w:rsid w:val="004A711F"/>
    <w:rsid w:val="004B199D"/>
    <w:rsid w:val="004B4690"/>
    <w:rsid w:val="004E0A2D"/>
    <w:rsid w:val="004E206B"/>
    <w:rsid w:val="004E2D3B"/>
    <w:rsid w:val="004E6DF7"/>
    <w:rsid w:val="004F0FBD"/>
    <w:rsid w:val="00505A47"/>
    <w:rsid w:val="00512FDA"/>
    <w:rsid w:val="00520DA0"/>
    <w:rsid w:val="0056547B"/>
    <w:rsid w:val="005664BB"/>
    <w:rsid w:val="00566FFA"/>
    <w:rsid w:val="0057481D"/>
    <w:rsid w:val="0058486E"/>
    <w:rsid w:val="00585B33"/>
    <w:rsid w:val="0059014D"/>
    <w:rsid w:val="00594DE5"/>
    <w:rsid w:val="005B5C64"/>
    <w:rsid w:val="005C5337"/>
    <w:rsid w:val="005C6BD0"/>
    <w:rsid w:val="005D1C8B"/>
    <w:rsid w:val="005D468D"/>
    <w:rsid w:val="005D50F0"/>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2728"/>
    <w:rsid w:val="0066343B"/>
    <w:rsid w:val="00664777"/>
    <w:rsid w:val="006748A4"/>
    <w:rsid w:val="00681A31"/>
    <w:rsid w:val="00683E73"/>
    <w:rsid w:val="006A0C79"/>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2466"/>
    <w:rsid w:val="007D1682"/>
    <w:rsid w:val="007D312A"/>
    <w:rsid w:val="007D3F19"/>
    <w:rsid w:val="007E23B0"/>
    <w:rsid w:val="007E23E5"/>
    <w:rsid w:val="007F1991"/>
    <w:rsid w:val="007F2C2F"/>
    <w:rsid w:val="007F3E2C"/>
    <w:rsid w:val="007F55FC"/>
    <w:rsid w:val="007F5665"/>
    <w:rsid w:val="00800112"/>
    <w:rsid w:val="00813348"/>
    <w:rsid w:val="008253BB"/>
    <w:rsid w:val="0083706E"/>
    <w:rsid w:val="008408F6"/>
    <w:rsid w:val="008423A5"/>
    <w:rsid w:val="00850625"/>
    <w:rsid w:val="00852A42"/>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3170"/>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D7D44"/>
    <w:rsid w:val="009F1185"/>
    <w:rsid w:val="009F18CD"/>
    <w:rsid w:val="009F299F"/>
    <w:rsid w:val="009F2A13"/>
    <w:rsid w:val="009F7527"/>
    <w:rsid w:val="00A04EB0"/>
    <w:rsid w:val="00A04F41"/>
    <w:rsid w:val="00A13CC1"/>
    <w:rsid w:val="00A16847"/>
    <w:rsid w:val="00A237D8"/>
    <w:rsid w:val="00A268C4"/>
    <w:rsid w:val="00A27750"/>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5F9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1CA6"/>
    <w:rsid w:val="00B77EA6"/>
    <w:rsid w:val="00B81598"/>
    <w:rsid w:val="00B841F1"/>
    <w:rsid w:val="00B944D6"/>
    <w:rsid w:val="00BB4DF0"/>
    <w:rsid w:val="00BB595B"/>
    <w:rsid w:val="00BC289F"/>
    <w:rsid w:val="00BC2D50"/>
    <w:rsid w:val="00BC5361"/>
    <w:rsid w:val="00BC5460"/>
    <w:rsid w:val="00BC6B50"/>
    <w:rsid w:val="00BD0E25"/>
    <w:rsid w:val="00BF5BD6"/>
    <w:rsid w:val="00C03E31"/>
    <w:rsid w:val="00C33E72"/>
    <w:rsid w:val="00C354B2"/>
    <w:rsid w:val="00C35554"/>
    <w:rsid w:val="00C4204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247"/>
    <w:rsid w:val="00DC7CBA"/>
    <w:rsid w:val="00DD73B7"/>
    <w:rsid w:val="00DF28BC"/>
    <w:rsid w:val="00DF34B9"/>
    <w:rsid w:val="00E01053"/>
    <w:rsid w:val="00E07ACF"/>
    <w:rsid w:val="00E331A1"/>
    <w:rsid w:val="00E33202"/>
    <w:rsid w:val="00E336A9"/>
    <w:rsid w:val="00E417B1"/>
    <w:rsid w:val="00E472B1"/>
    <w:rsid w:val="00E50624"/>
    <w:rsid w:val="00E54633"/>
    <w:rsid w:val="00E568DF"/>
    <w:rsid w:val="00E64269"/>
    <w:rsid w:val="00E82267"/>
    <w:rsid w:val="00E853CE"/>
    <w:rsid w:val="00E867B6"/>
    <w:rsid w:val="00EA010F"/>
    <w:rsid w:val="00EB3455"/>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76DC"/>
    <w:rsid w:val="00F602DF"/>
    <w:rsid w:val="00F754A1"/>
    <w:rsid w:val="00F81D06"/>
    <w:rsid w:val="00F81FD9"/>
    <w:rsid w:val="00F841AA"/>
    <w:rsid w:val="00F84A94"/>
    <w:rsid w:val="00F87E96"/>
    <w:rsid w:val="00FA23E8"/>
    <w:rsid w:val="00FC00B7"/>
    <w:rsid w:val="00FD3CC1"/>
    <w:rsid w:val="00FF1E02"/>
    <w:rsid w:val="00FF30B4"/>
    <w:rsid w:val="012A5EC2"/>
    <w:rsid w:val="015975B8"/>
    <w:rsid w:val="02FEBE30"/>
    <w:rsid w:val="03E770B8"/>
    <w:rsid w:val="04916F1E"/>
    <w:rsid w:val="061E35DE"/>
    <w:rsid w:val="066E0107"/>
    <w:rsid w:val="071E6209"/>
    <w:rsid w:val="075E1930"/>
    <w:rsid w:val="07996F6E"/>
    <w:rsid w:val="07DFD8BA"/>
    <w:rsid w:val="09867E8F"/>
    <w:rsid w:val="0A2032A3"/>
    <w:rsid w:val="0CA8290A"/>
    <w:rsid w:val="0D35B1ED"/>
    <w:rsid w:val="0E254B6B"/>
    <w:rsid w:val="0F98263C"/>
    <w:rsid w:val="0FD154CD"/>
    <w:rsid w:val="0FF62F39"/>
    <w:rsid w:val="101860EC"/>
    <w:rsid w:val="101F47CC"/>
    <w:rsid w:val="107B503F"/>
    <w:rsid w:val="10B80E34"/>
    <w:rsid w:val="10C055FF"/>
    <w:rsid w:val="11694EBD"/>
    <w:rsid w:val="11772AA4"/>
    <w:rsid w:val="118107EC"/>
    <w:rsid w:val="12E24EE2"/>
    <w:rsid w:val="13A052EE"/>
    <w:rsid w:val="13D50BC4"/>
    <w:rsid w:val="1488688D"/>
    <w:rsid w:val="14B17F78"/>
    <w:rsid w:val="163126CE"/>
    <w:rsid w:val="165E0673"/>
    <w:rsid w:val="16A74B56"/>
    <w:rsid w:val="16B831D5"/>
    <w:rsid w:val="16BB723D"/>
    <w:rsid w:val="17DB3ECC"/>
    <w:rsid w:val="17E50567"/>
    <w:rsid w:val="186504BB"/>
    <w:rsid w:val="19A445FC"/>
    <w:rsid w:val="1BE8440E"/>
    <w:rsid w:val="1D155CEE"/>
    <w:rsid w:val="1D1638FE"/>
    <w:rsid w:val="1E105D18"/>
    <w:rsid w:val="1E312DEB"/>
    <w:rsid w:val="1E740ACF"/>
    <w:rsid w:val="1EA67CA7"/>
    <w:rsid w:val="1EC00D1E"/>
    <w:rsid w:val="1FAB57F6"/>
    <w:rsid w:val="1FD00EBA"/>
    <w:rsid w:val="1FF35744"/>
    <w:rsid w:val="1FF6BC77"/>
    <w:rsid w:val="20606881"/>
    <w:rsid w:val="206335C3"/>
    <w:rsid w:val="2186353C"/>
    <w:rsid w:val="23032136"/>
    <w:rsid w:val="23860B96"/>
    <w:rsid w:val="240371BF"/>
    <w:rsid w:val="242020C7"/>
    <w:rsid w:val="244F3473"/>
    <w:rsid w:val="24C97D99"/>
    <w:rsid w:val="252733A6"/>
    <w:rsid w:val="25A718F0"/>
    <w:rsid w:val="25BB59F6"/>
    <w:rsid w:val="260F557C"/>
    <w:rsid w:val="26107C23"/>
    <w:rsid w:val="26970054"/>
    <w:rsid w:val="281408E2"/>
    <w:rsid w:val="29FD04D3"/>
    <w:rsid w:val="2BFF7BC6"/>
    <w:rsid w:val="2C8A61B5"/>
    <w:rsid w:val="2D2D6CA1"/>
    <w:rsid w:val="2DF04E50"/>
    <w:rsid w:val="2E586DFA"/>
    <w:rsid w:val="2F040D46"/>
    <w:rsid w:val="2F6B035B"/>
    <w:rsid w:val="2FAE5751"/>
    <w:rsid w:val="2FB1A395"/>
    <w:rsid w:val="2FD9A7D8"/>
    <w:rsid w:val="2FDBF714"/>
    <w:rsid w:val="30AB6865"/>
    <w:rsid w:val="317F6C99"/>
    <w:rsid w:val="319F7F4E"/>
    <w:rsid w:val="324031C4"/>
    <w:rsid w:val="32BD1EF1"/>
    <w:rsid w:val="3304709D"/>
    <w:rsid w:val="33A773CB"/>
    <w:rsid w:val="349D6851"/>
    <w:rsid w:val="360E4CDB"/>
    <w:rsid w:val="3661158D"/>
    <w:rsid w:val="36AA5135"/>
    <w:rsid w:val="36BE0DA7"/>
    <w:rsid w:val="376B6AA6"/>
    <w:rsid w:val="376D39B2"/>
    <w:rsid w:val="37920357"/>
    <w:rsid w:val="37E16F03"/>
    <w:rsid w:val="37F53A3B"/>
    <w:rsid w:val="389B6C89"/>
    <w:rsid w:val="38D469F0"/>
    <w:rsid w:val="39264D0A"/>
    <w:rsid w:val="39627CCD"/>
    <w:rsid w:val="397BAF1F"/>
    <w:rsid w:val="39A27469"/>
    <w:rsid w:val="3AB79AF3"/>
    <w:rsid w:val="3AE834C0"/>
    <w:rsid w:val="3AEE2BF1"/>
    <w:rsid w:val="3AF97483"/>
    <w:rsid w:val="3B4E0E9F"/>
    <w:rsid w:val="3B7EF35A"/>
    <w:rsid w:val="3B9FDB6C"/>
    <w:rsid w:val="3BF5BC2F"/>
    <w:rsid w:val="3CEBA265"/>
    <w:rsid w:val="3D98207C"/>
    <w:rsid w:val="3DEE7CF3"/>
    <w:rsid w:val="3E740A63"/>
    <w:rsid w:val="3E78745D"/>
    <w:rsid w:val="3EE17838"/>
    <w:rsid w:val="3F55381A"/>
    <w:rsid w:val="3F623666"/>
    <w:rsid w:val="3F7F7599"/>
    <w:rsid w:val="3FF4CAE0"/>
    <w:rsid w:val="3FF7B227"/>
    <w:rsid w:val="404C67A9"/>
    <w:rsid w:val="415563F9"/>
    <w:rsid w:val="421C24BD"/>
    <w:rsid w:val="43966687"/>
    <w:rsid w:val="446E7CB0"/>
    <w:rsid w:val="44E268DA"/>
    <w:rsid w:val="450D13D7"/>
    <w:rsid w:val="45506656"/>
    <w:rsid w:val="486A6C7A"/>
    <w:rsid w:val="4A627F82"/>
    <w:rsid w:val="4AF27520"/>
    <w:rsid w:val="4B0E749A"/>
    <w:rsid w:val="4B2477C4"/>
    <w:rsid w:val="4B4F25DA"/>
    <w:rsid w:val="4BE068DB"/>
    <w:rsid w:val="4D577224"/>
    <w:rsid w:val="4DBF1CEB"/>
    <w:rsid w:val="4DDB0EE4"/>
    <w:rsid w:val="4DF0007C"/>
    <w:rsid w:val="4EAB630A"/>
    <w:rsid w:val="4ECE2238"/>
    <w:rsid w:val="4F833267"/>
    <w:rsid w:val="4FE9BD67"/>
    <w:rsid w:val="4FFB052F"/>
    <w:rsid w:val="510B332F"/>
    <w:rsid w:val="537E6D0A"/>
    <w:rsid w:val="53AE00E1"/>
    <w:rsid w:val="53F74C96"/>
    <w:rsid w:val="542F0D81"/>
    <w:rsid w:val="543D019E"/>
    <w:rsid w:val="550D75AC"/>
    <w:rsid w:val="55170BA8"/>
    <w:rsid w:val="553218C9"/>
    <w:rsid w:val="55762405"/>
    <w:rsid w:val="567E1AA5"/>
    <w:rsid w:val="56E47B74"/>
    <w:rsid w:val="56F756FB"/>
    <w:rsid w:val="57175D52"/>
    <w:rsid w:val="57BD3DD4"/>
    <w:rsid w:val="5AF92295"/>
    <w:rsid w:val="5B250254"/>
    <w:rsid w:val="5B395627"/>
    <w:rsid w:val="5BDD79E6"/>
    <w:rsid w:val="5BF561CA"/>
    <w:rsid w:val="5BFF5DFC"/>
    <w:rsid w:val="5CD71FC4"/>
    <w:rsid w:val="5D1F11B5"/>
    <w:rsid w:val="5D695134"/>
    <w:rsid w:val="5DAE1B18"/>
    <w:rsid w:val="5DE7D9E5"/>
    <w:rsid w:val="5EA9665E"/>
    <w:rsid w:val="5ECEC941"/>
    <w:rsid w:val="5F342B5D"/>
    <w:rsid w:val="5F7C7FC5"/>
    <w:rsid w:val="5FBF9FF3"/>
    <w:rsid w:val="5FCD4E2C"/>
    <w:rsid w:val="5FEF394A"/>
    <w:rsid w:val="5FF67715"/>
    <w:rsid w:val="62BB51DF"/>
    <w:rsid w:val="62BF3928"/>
    <w:rsid w:val="63B3701E"/>
    <w:rsid w:val="647F5392"/>
    <w:rsid w:val="656A103D"/>
    <w:rsid w:val="65E66580"/>
    <w:rsid w:val="65FD3822"/>
    <w:rsid w:val="66072CAA"/>
    <w:rsid w:val="664B1D71"/>
    <w:rsid w:val="664B4E8E"/>
    <w:rsid w:val="67277B67"/>
    <w:rsid w:val="673860D0"/>
    <w:rsid w:val="67AA3209"/>
    <w:rsid w:val="68AB569F"/>
    <w:rsid w:val="698D0931"/>
    <w:rsid w:val="6A7FE5F3"/>
    <w:rsid w:val="6B053271"/>
    <w:rsid w:val="6BDD78B3"/>
    <w:rsid w:val="6C390BE3"/>
    <w:rsid w:val="6C4A05C8"/>
    <w:rsid w:val="6C8742B8"/>
    <w:rsid w:val="6DBF5E93"/>
    <w:rsid w:val="6DFF077E"/>
    <w:rsid w:val="6E714EF0"/>
    <w:rsid w:val="6E7E3605"/>
    <w:rsid w:val="6E7FDCC7"/>
    <w:rsid w:val="6ED6A62E"/>
    <w:rsid w:val="6EE00B15"/>
    <w:rsid w:val="6EEC3DA4"/>
    <w:rsid w:val="6F6FB3EB"/>
    <w:rsid w:val="6F8731EA"/>
    <w:rsid w:val="6FCE6052"/>
    <w:rsid w:val="6FD57C00"/>
    <w:rsid w:val="6FEFFFD8"/>
    <w:rsid w:val="6FF5CC65"/>
    <w:rsid w:val="6FFB47EC"/>
    <w:rsid w:val="6FFF034A"/>
    <w:rsid w:val="70415ADC"/>
    <w:rsid w:val="70484440"/>
    <w:rsid w:val="709E3C5E"/>
    <w:rsid w:val="712A28F1"/>
    <w:rsid w:val="715C0E4B"/>
    <w:rsid w:val="71992E7C"/>
    <w:rsid w:val="72233669"/>
    <w:rsid w:val="72734D90"/>
    <w:rsid w:val="72BE3E85"/>
    <w:rsid w:val="73160E6D"/>
    <w:rsid w:val="7332FE48"/>
    <w:rsid w:val="739D0C91"/>
    <w:rsid w:val="73AA3F8A"/>
    <w:rsid w:val="73AB61DA"/>
    <w:rsid w:val="73AD73D5"/>
    <w:rsid w:val="73B6EB34"/>
    <w:rsid w:val="73FA497D"/>
    <w:rsid w:val="744731E5"/>
    <w:rsid w:val="74B67F9B"/>
    <w:rsid w:val="74BBD01D"/>
    <w:rsid w:val="74ED5379"/>
    <w:rsid w:val="7599579F"/>
    <w:rsid w:val="75DEEEC2"/>
    <w:rsid w:val="75E32345"/>
    <w:rsid w:val="76E3355F"/>
    <w:rsid w:val="76FF5125"/>
    <w:rsid w:val="776F6FFA"/>
    <w:rsid w:val="778769C8"/>
    <w:rsid w:val="77A75DCA"/>
    <w:rsid w:val="77DC22F5"/>
    <w:rsid w:val="783E271A"/>
    <w:rsid w:val="78616DE9"/>
    <w:rsid w:val="78DF3804"/>
    <w:rsid w:val="78E875D7"/>
    <w:rsid w:val="78FD0397"/>
    <w:rsid w:val="79086DAD"/>
    <w:rsid w:val="79D7FD79"/>
    <w:rsid w:val="79EE5BA4"/>
    <w:rsid w:val="7A894339"/>
    <w:rsid w:val="7AD284E8"/>
    <w:rsid w:val="7AE46BDD"/>
    <w:rsid w:val="7AFF7572"/>
    <w:rsid w:val="7B28312D"/>
    <w:rsid w:val="7B531CCF"/>
    <w:rsid w:val="7B6C7DFB"/>
    <w:rsid w:val="7BBFBED0"/>
    <w:rsid w:val="7BC3E394"/>
    <w:rsid w:val="7C1F3737"/>
    <w:rsid w:val="7C226C30"/>
    <w:rsid w:val="7CBFC87B"/>
    <w:rsid w:val="7CFE0F48"/>
    <w:rsid w:val="7D272ABC"/>
    <w:rsid w:val="7D7EC23E"/>
    <w:rsid w:val="7D8E0851"/>
    <w:rsid w:val="7E8ADEBF"/>
    <w:rsid w:val="7EEF11D3"/>
    <w:rsid w:val="7EFB49ED"/>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fontstyle01"/>
    <w:basedOn w:val="16"/>
    <w:qFormat/>
    <w:uiPriority w:val="0"/>
    <w:rPr>
      <w:rFonts w:hint="eastAsia" w:ascii="仿宋_GB2312" w:eastAsia="仿宋_GB2312"/>
      <w:color w:val="000000"/>
      <w:sz w:val="32"/>
      <w:szCs w:val="32"/>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6130;&#25919;\&#39044;&#20915;&#31639;\&#20915;&#31639;\2024&#24180;&#20915;&#31639;\&#30011;&#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802003-&#25856;&#26525;&#33457;&#24066;&#25968;&#23383;&#21270;&#22478;&#24066;&#32852;&#21160;&#25351;&#25381;&#20013;&#24515;_2024&#24180;&#24230;&#30465;&#32423;&#37096;&#38376;&#20915;&#31639;&#20844;&#24320;.docx\&#30011;&#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6130;&#25919;\&#39044;&#20915;&#31639;\&#20915;&#31639;\2024&#24180;&#20915;&#31639;\&#30011;&#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6130;&#25919;\&#39044;&#20915;&#31639;\&#20915;&#31639;\2024&#24180;&#20915;&#31639;\&#30011;&#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6130;&#25919;\&#39044;&#20915;&#31639;\&#20915;&#31639;\2024&#24180;&#20915;&#31639;\&#30011;&#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36130;&#25919;\&#39044;&#20915;&#31639;\&#20915;&#31639;\2024&#24180;&#20915;&#31639;\&#30011;&#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36130;&#25919;\&#39044;&#20915;&#31639;\&#20915;&#31639;\2024&#24180;&#20915;&#31639;\&#30011;&#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487007982383705"/>
          <c:y val="0.00582072176949942"/>
          <c:w val="0.947013487475915"/>
          <c:h val="0.795698924731184"/>
        </c:manualLayout>
      </c:layout>
      <c:barChart>
        <c:barDir val="col"/>
        <c:grouping val="clustered"/>
        <c:varyColors val="false"/>
        <c:ser>
          <c:idx val="0"/>
          <c:order val="0"/>
          <c:tx>
            <c:strRef>
              <c:f>[画图.xlsx]Sheet2!$C$36</c:f>
              <c:strCache>
                <c:ptCount val="1"/>
                <c:pt idx="0">
                  <c:v>2023</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[画图.xlsx]Sheet2!$D$35:$E$35</c:f>
              <c:strCache>
                <c:ptCount val="2"/>
                <c:pt idx="0">
                  <c:v>收入</c:v>
                </c:pt>
                <c:pt idx="1">
                  <c:v>支出</c:v>
                </c:pt>
              </c:strCache>
            </c:strRef>
          </c:cat>
          <c:val>
            <c:numRef>
              <c:f>[画图.xlsx]Sheet2!$D$36:$E$36</c:f>
              <c:numCache>
                <c:formatCode>General</c:formatCode>
                <c:ptCount val="2"/>
                <c:pt idx="0">
                  <c:v>394.89</c:v>
                </c:pt>
                <c:pt idx="1">
                  <c:v>394.89</c:v>
                </c:pt>
              </c:numCache>
            </c:numRef>
          </c:val>
        </c:ser>
        <c:ser>
          <c:idx val="1"/>
          <c:order val="1"/>
          <c:tx>
            <c:strRef>
              <c:f>[画图.xlsx]Sheet2!$C$37</c:f>
              <c:strCache>
                <c:ptCount val="1"/>
                <c:pt idx="0">
                  <c:v>2024</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[画图.xlsx]Sheet2!$D$35:$E$35</c:f>
              <c:strCache>
                <c:ptCount val="2"/>
                <c:pt idx="0">
                  <c:v>收入</c:v>
                </c:pt>
                <c:pt idx="1">
                  <c:v>支出</c:v>
                </c:pt>
              </c:strCache>
            </c:strRef>
          </c:cat>
          <c:val>
            <c:numRef>
              <c:f>[画图.xlsx]Sheet2!$D$37:$E$37</c:f>
              <c:numCache>
                <c:formatCode>General</c:formatCode>
                <c:ptCount val="2"/>
                <c:pt idx="0">
                  <c:v>693.680000000001</c:v>
                </c:pt>
                <c:pt idx="1">
                  <c:v>693.680000000001</c:v>
                </c:pt>
              </c:numCache>
            </c:numRef>
          </c:val>
        </c:ser>
        <c:dLbls>
          <c:showLegendKey val="false"/>
          <c:showVal val="true"/>
          <c:showCatName val="false"/>
          <c:showSerName val="false"/>
          <c:showPercent val="false"/>
          <c:showBubbleSize val="false"/>
        </c:dLbls>
        <c:gapWidth val="150"/>
        <c:overlap val="-25"/>
        <c:axId val="132044288"/>
        <c:axId val="132045824"/>
      </c:barChart>
      <c:catAx>
        <c:axId val="132044288"/>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045824"/>
        <c:crosses val="autoZero"/>
        <c:auto val="true"/>
        <c:lblAlgn val="ctr"/>
        <c:lblOffset val="100"/>
        <c:noMultiLvlLbl val="false"/>
      </c:catAx>
      <c:valAx>
        <c:axId val="132045824"/>
        <c:scaling>
          <c:orientation val="minMax"/>
        </c:scaling>
        <c:delete val="true"/>
        <c:axPos val="l"/>
        <c:numFmt formatCode="General" sourceLinked="true"/>
        <c:majorTickMark val="out"/>
        <c:minorTickMark val="none"/>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044288"/>
        <c:crosses val="autoZero"/>
        <c:crossBetween val="between"/>
      </c:valAx>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43866549604916"/>
          <c:y val="0.0949463487910996"/>
          <c:w val="0.570792156862745"/>
          <c:h val="0.795366120218579"/>
        </c:manualLayout>
      </c:layout>
      <c:pieChart>
        <c:varyColors val="true"/>
        <c:ser>
          <c:idx val="0"/>
          <c:order val="0"/>
          <c:explosion val="7"/>
          <c:dPt>
            <c:idx val="0"/>
            <c:bubble3D val="false"/>
            <c:explosion val="0"/>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Lbls>
            <c:dLbl>
              <c:idx val="0"/>
              <c:layout>
                <c:manualLayout>
                  <c:x val="0.151909584187445"/>
                  <c:y val="0.0539321895946083"/>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政府性基金预算财政拨款收入7%</a:t>
                    </a:r>
                  </a:p>
                </c:rich>
              </c:tx>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一般公共预算财政拨款收入93%</a:t>
                    </a:r>
                  </a:p>
                </c:rich>
              </c:tx>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extLst>
                <c:ext xmlns:c15="http://schemas.microsoft.com/office/drawing/2012/chart" uri="{CE6537A1-D6FC-4f65-9D91-7224C49458BB}"/>
              </c:extLst>
            </c:dLbl>
            <c:dLbl>
              <c:idx val="2"/>
              <c:delete val="true"/>
            </c:dLbl>
            <c:dLbl>
              <c:idx val="3"/>
              <c:delete val="true"/>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'[画图.xlsx]Sheet1 (4)'!$A$1:$A$4</c:f>
              <c:strCache>
                <c:ptCount val="4"/>
                <c:pt idx="0">
                  <c:v>政府性基金预算财政拨款收入</c:v>
                </c:pt>
                <c:pt idx="1">
                  <c:v>一般公共预算财政拨款收入</c:v>
                </c:pt>
              </c:strCache>
            </c:strRef>
          </c:cat>
          <c:val>
            <c:numRef>
              <c:f>'[画图.xlsx]Sheet1 (4)'!$B$1:$B$4</c:f>
              <c:numCache>
                <c:formatCode>General</c:formatCode>
                <c:ptCount val="4"/>
                <c:pt idx="0">
                  <c:v>46</c:v>
                </c:pt>
                <c:pt idx="1">
                  <c:v>647.680000000001</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legend>
      <c:legendPos val="r"/>
      <c:legendEntry>
        <c:idx val="2"/>
        <c:delete val="true"/>
      </c:legendEntry>
      <c:legendEntry>
        <c:idx val="3"/>
        <c:delete val="true"/>
      </c:legendEntry>
      <c:layout>
        <c:manualLayout>
          <c:xMode val="edge"/>
          <c:yMode val="edge"/>
          <c:x val="0.689780730313067"/>
          <c:y val="0.268557259588077"/>
          <c:w val="0.256082806828876"/>
          <c:h val="0.172099950355784"/>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Lbls>
            <c:dLbl>
              <c:idx val="2"/>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'[画图.xlsx]Sheet1 (2)'!$A$1:$A$3</c:f>
              <c:strCache>
                <c:ptCount val="3"/>
                <c:pt idx="0">
                  <c:v>基本支出</c:v>
                </c:pt>
                <c:pt idx="1">
                  <c:v>项目支出 </c:v>
                </c:pt>
              </c:strCache>
            </c:strRef>
          </c:cat>
          <c:val>
            <c:numRef>
              <c:f>'[画图.xlsx]Sheet1 (2)'!$B$1:$B$3</c:f>
              <c:numCache>
                <c:formatCode>General</c:formatCode>
                <c:ptCount val="3"/>
                <c:pt idx="0">
                  <c:v>239.84</c:v>
                </c:pt>
                <c:pt idx="1">
                  <c:v>453.84</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491818200700584"/>
          <c:y val="0.00625912789484667"/>
          <c:w val="0.947013487475915"/>
          <c:h val="0.795698924731184"/>
        </c:manualLayout>
      </c:layout>
      <c:barChart>
        <c:barDir val="col"/>
        <c:grouping val="clustered"/>
        <c:varyColors val="false"/>
        <c:ser>
          <c:idx val="0"/>
          <c:order val="0"/>
          <c:tx>
            <c:strRef>
              <c:f>[画图.xlsx]Sheet2!$C$36</c:f>
              <c:strCache>
                <c:ptCount val="1"/>
                <c:pt idx="0">
                  <c:v>2023</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[画图.xlsx]Sheet2!$D$35:$E$35</c:f>
              <c:strCache>
                <c:ptCount val="2"/>
                <c:pt idx="0">
                  <c:v>收入</c:v>
                </c:pt>
                <c:pt idx="1">
                  <c:v>支出</c:v>
                </c:pt>
              </c:strCache>
            </c:strRef>
          </c:cat>
          <c:val>
            <c:numRef>
              <c:f>[画图.xlsx]Sheet2!$D$36:$E$36</c:f>
              <c:numCache>
                <c:formatCode>General</c:formatCode>
                <c:ptCount val="2"/>
                <c:pt idx="0">
                  <c:v>394.89</c:v>
                </c:pt>
                <c:pt idx="1">
                  <c:v>394.89</c:v>
                </c:pt>
              </c:numCache>
            </c:numRef>
          </c:val>
        </c:ser>
        <c:ser>
          <c:idx val="1"/>
          <c:order val="1"/>
          <c:tx>
            <c:strRef>
              <c:f>[画图.xlsx]Sheet2!$C$37</c:f>
              <c:strCache>
                <c:ptCount val="1"/>
                <c:pt idx="0">
                  <c:v>2024</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[画图.xlsx]Sheet2!$D$35:$E$35</c:f>
              <c:strCache>
                <c:ptCount val="2"/>
                <c:pt idx="0">
                  <c:v>收入</c:v>
                </c:pt>
                <c:pt idx="1">
                  <c:v>支出</c:v>
                </c:pt>
              </c:strCache>
            </c:strRef>
          </c:cat>
          <c:val>
            <c:numRef>
              <c:f>[画图.xlsx]Sheet2!$D$37:$E$37</c:f>
              <c:numCache>
                <c:formatCode>General</c:formatCode>
                <c:ptCount val="2"/>
                <c:pt idx="0">
                  <c:v>693.680000000001</c:v>
                </c:pt>
                <c:pt idx="1">
                  <c:v>693.680000000001</c:v>
                </c:pt>
              </c:numCache>
            </c:numRef>
          </c:val>
        </c:ser>
        <c:dLbls>
          <c:showLegendKey val="false"/>
          <c:showVal val="true"/>
          <c:showCatName val="false"/>
          <c:showSerName val="false"/>
          <c:showPercent val="false"/>
          <c:showBubbleSize val="false"/>
        </c:dLbls>
        <c:gapWidth val="150"/>
        <c:overlap val="-25"/>
        <c:axId val="134351104"/>
        <c:axId val="134361088"/>
      </c:barChart>
      <c:catAx>
        <c:axId val="13435110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4361088"/>
        <c:crosses val="autoZero"/>
        <c:auto val="true"/>
        <c:lblAlgn val="ctr"/>
        <c:lblOffset val="100"/>
        <c:noMultiLvlLbl val="false"/>
      </c:catAx>
      <c:valAx>
        <c:axId val="134361088"/>
        <c:scaling>
          <c:orientation val="minMax"/>
        </c:scaling>
        <c:delete val="true"/>
        <c:axPos val="l"/>
        <c:numFmt formatCode="General" sourceLinked="true"/>
        <c:majorTickMark val="out"/>
        <c:minorTickMark val="none"/>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4351104"/>
        <c:crosses val="autoZero"/>
        <c:crossBetween val="between"/>
      </c:valAx>
    </c:plotArea>
    <c:legend>
      <c:legendPos val="t"/>
      <c:layout>
        <c:manualLayout>
          <c:xMode val="edge"/>
          <c:yMode val="edge"/>
          <c:x val="0.47411217209733"/>
          <c:y val="0.050410993830182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05555555555556"/>
          <c:y val="0.40728615993708"/>
          <c:w val="0.938888888888891"/>
          <c:h val="0.428871391076116"/>
        </c:manualLayout>
      </c:layout>
      <c:barChart>
        <c:barDir val="col"/>
        <c:grouping val="clustered"/>
        <c:varyColors val="false"/>
        <c:ser>
          <c:idx val="0"/>
          <c:order val="0"/>
          <c:tx>
            <c:strRef>
              <c:f>[画图.xlsx]Sheet2!$A$3</c:f>
              <c:strCache>
                <c:ptCount val="1"/>
                <c:pt idx="0">
                  <c:v>2024年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[画图.xlsx]Sheet2!$A$7</c:f>
              <c:strCache>
                <c:ptCount val="1"/>
                <c:pt idx="0">
                  <c:v>图5：一般公共预算财政拨款支出决算变动情况</c:v>
                </c:pt>
              </c:strCache>
            </c:strRef>
          </c:cat>
          <c:val>
            <c:numRef>
              <c:f>[画图.xlsx]Sheet2!$B$3</c:f>
              <c:numCache>
                <c:formatCode>General</c:formatCode>
                <c:ptCount val="1"/>
                <c:pt idx="0">
                  <c:v>647.680000000001</c:v>
                </c:pt>
              </c:numCache>
            </c:numRef>
          </c:val>
        </c:ser>
        <c:ser>
          <c:idx val="1"/>
          <c:order val="1"/>
          <c:tx>
            <c:strRef>
              <c:f>[画图.xlsx]Sheet2!$A$2</c:f>
              <c:strCache>
                <c:ptCount val="1"/>
                <c:pt idx="0">
                  <c:v>2023年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[画图.xlsx]Sheet2!$A$7</c:f>
              <c:strCache>
                <c:ptCount val="1"/>
                <c:pt idx="0">
                  <c:v>图5：一般公共预算财政拨款支出决算变动情况</c:v>
                </c:pt>
              </c:strCache>
            </c:strRef>
          </c:cat>
          <c:val>
            <c:numRef>
              <c:f>[画图.xlsx]Sheet2!$B$2</c:f>
              <c:numCache>
                <c:formatCode>General</c:formatCode>
                <c:ptCount val="1"/>
                <c:pt idx="0">
                  <c:v>394.89</c:v>
                </c:pt>
              </c:numCache>
            </c:numRef>
          </c:val>
        </c:ser>
        <c:dLbls>
          <c:showLegendKey val="false"/>
          <c:showVal val="true"/>
          <c:showCatName val="false"/>
          <c:showSerName val="false"/>
          <c:showPercent val="false"/>
          <c:showBubbleSize val="false"/>
        </c:dLbls>
        <c:gapWidth val="150"/>
        <c:overlap val="-25"/>
        <c:axId val="134394624"/>
        <c:axId val="134396160"/>
      </c:barChart>
      <c:catAx>
        <c:axId val="134394624"/>
        <c:scaling>
          <c:orientation val="minMax"/>
        </c:scaling>
        <c:delete val="true"/>
        <c:axPos val="b"/>
        <c:majorTickMark val="none"/>
        <c:minorTickMark val="none"/>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4396160"/>
        <c:crosses val="autoZero"/>
        <c:auto val="true"/>
        <c:lblAlgn val="ctr"/>
        <c:lblOffset val="100"/>
        <c:noMultiLvlLbl val="false"/>
      </c:catAx>
      <c:valAx>
        <c:axId val="134396160"/>
        <c:scaling>
          <c:orientation val="minMax"/>
        </c:scaling>
        <c:delete val="true"/>
        <c:axPos val="l"/>
        <c:numFmt formatCode="General" sourceLinked="true"/>
        <c:majorTickMark val="none"/>
        <c:minorTickMark val="none"/>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4394624"/>
        <c:crosses val="autoZero"/>
        <c:crossBetween val="between"/>
      </c:valAx>
    </c:plotArea>
    <c:legend>
      <c:legendPos val="t"/>
      <c:layout>
        <c:manualLayout>
          <c:xMode val="edge"/>
          <c:yMode val="edge"/>
          <c:x val="0.0818060224596815"/>
          <c:y val="0.0106382978723404"/>
          <c:w val="0.744540901137356"/>
          <c:h val="0.130563023056461"/>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95327522629625"/>
          <c:y val="0.151692657464876"/>
          <c:w val="0.570792156862745"/>
          <c:h val="0.795366120218579"/>
        </c:manualLayout>
      </c:layout>
      <c:pieChart>
        <c:varyColors val="true"/>
        <c:ser>
          <c:idx val="0"/>
          <c:order val="0"/>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Lbls>
            <c:dLbl>
              <c:idx val="0"/>
              <c:layout>
                <c:manualLayout>
                  <c:x val="0.192604837515018"/>
                  <c:y val="0.0693186944149425"/>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社会保障和就业支出 4%</a:t>
                    </a:r>
                  </a:p>
                </c:rich>
              </c:tx>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城乡社区支出 91%</a:t>
                    </a:r>
                  </a:p>
                </c:rich>
              </c:tx>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extLst>
                <c:ext xmlns:c15="http://schemas.microsoft.com/office/drawing/2012/chart" uri="{CE6537A1-D6FC-4f65-9D91-7224C49458BB}"/>
              </c:extLst>
            </c:dLbl>
            <c:dLbl>
              <c:idx val="2"/>
              <c:layout>
                <c:manualLayout>
                  <c:x val="-0.103377576692003"/>
                  <c:y val="0.00227255948589842"/>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住房保障支出, 3%</a:t>
                    </a:r>
                  </a:p>
                </c:rich>
              </c:tx>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3"/>
              <c:layout>
                <c:manualLayout>
                  <c:x val="0.0730368687589078"/>
                  <c:y val="-0.0241604868228907"/>
                </c:manualLayout>
              </c:layout>
              <c:tx>
                <c:rich>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r>
                      <a:t>卫生健康2%</a:t>
                    </a:r>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[画图.xlsx]Sheet1!$A$1:$A$4</c:f>
              <c:strCache>
                <c:ptCount val="4"/>
                <c:pt idx="0">
                  <c:v>社会保障和就业支出</c:v>
                </c:pt>
                <c:pt idx="1">
                  <c:v>城乡社区支出</c:v>
                </c:pt>
                <c:pt idx="2">
                  <c:v>住房保障支出</c:v>
                </c:pt>
                <c:pt idx="3">
                  <c:v>卫生健康</c:v>
                </c:pt>
              </c:strCache>
            </c:strRef>
          </c:cat>
          <c:val>
            <c:numRef>
              <c:f>[画图.xlsx]Sheet1!$B$1:$B$4</c:f>
              <c:numCache>
                <c:formatCode>General</c:formatCode>
                <c:ptCount val="4"/>
                <c:pt idx="0">
                  <c:v>24.98</c:v>
                </c:pt>
                <c:pt idx="1">
                  <c:v>588.74</c:v>
                </c:pt>
                <c:pt idx="2">
                  <c:v>18.72</c:v>
                </c:pt>
                <c:pt idx="3">
                  <c:v>15.24</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1463104325701"/>
          <c:y val="0.0604890604890605"/>
          <c:w val="0.438295165394404"/>
          <c:h val="0.886743886743889"/>
        </c:manualLayout>
      </c:layout>
      <c:pieChart>
        <c:varyColors val="true"/>
        <c:ser>
          <c:idx val="0"/>
          <c:order val="0"/>
          <c:tx>
            <c:strRef>
              <c:f>'[画图.xlsx]Sheet2 (2)'!$A$7</c:f>
              <c:strCache>
                <c:ptCount val="1"/>
                <c:pt idx="0">
                  <c:v>图7：“三公”经费财政拨款支出结构</c:v>
                </c:pt>
              </c:strCache>
            </c:strRef>
          </c:tx>
          <c:explosion val="0"/>
          <c:dPt>
            <c:idx val="0"/>
            <c:bubble3D val="false"/>
            <c:explosion val="4"/>
            <c:spPr>
              <a:solidFill>
                <a:schemeClr val="accent1"/>
              </a:solidFill>
              <a:ln>
                <a:noFill/>
              </a:ln>
              <a:effectLst>
                <a:outerShdw blurRad="254000" sx="102000" sy="102000" algn="ctr" rotWithShape="0">
                  <a:prstClr val="black">
                    <a:alpha val="20000"/>
                  </a:prstClr>
                </a:outerShdw>
              </a:effectLst>
            </c:spPr>
          </c:dPt>
          <c:dPt>
            <c:idx val="1"/>
            <c:bubble3D val="false"/>
            <c:explosion val="13"/>
            <c:spPr>
              <a:solidFill>
                <a:schemeClr val="accent2"/>
              </a:solidFill>
              <a:ln>
                <a:noFill/>
              </a:ln>
              <a:effectLst>
                <a:outerShdw blurRad="254000" sx="102000" sy="102000" algn="ctr" rotWithShape="0">
                  <a:prstClr val="black">
                    <a:alpha val="20000"/>
                  </a:prstClr>
                </a:outerShdw>
              </a:effectLst>
            </c:spPr>
          </c:dPt>
          <c:dLbls>
            <c:dLbl>
              <c:idx val="0"/>
              <c:layout>
                <c:manualLayout>
                  <c:x val="0.00381612717387231"/>
                  <c:y val="-0.552348777347355"/>
                </c:manualLayout>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公务用车运行维护费100%</a:t>
                    </a:r>
                  </a:p>
                </c:rich>
              </c:tx>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194274809160305"/>
                      <c:h val="0.243500643500643"/>
                    </c:manualLayout>
                  </c15:layout>
                </c:ext>
              </c:extLst>
            </c:dLbl>
            <c:dLbl>
              <c:idx val="1"/>
              <c:delete val="true"/>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'[画图.xlsx]Sheet2 (2)'!$A$1:$A$2</c:f>
              <c:strCache>
                <c:ptCount val="2"/>
                <c:pt idx="0">
                  <c:v>公务用车运行维护费</c:v>
                </c:pt>
                <c:pt idx="1">
                  <c:v>公务接待费支出</c:v>
                </c:pt>
              </c:strCache>
            </c:strRef>
          </c:cat>
          <c:val>
            <c:numRef>
              <c:f>'[画图.xlsx]Sheet2 (2)'!$B$1:$B$2</c:f>
              <c:numCache>
                <c:formatCode>General</c:formatCode>
                <c:ptCount val="2"/>
                <c:pt idx="0">
                  <c:v>1.13</c:v>
                </c:pt>
                <c:pt idx="1" c:formatCode="#,##0.00">
                  <c:v>0</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15</Pages>
  <Words>4424</Words>
  <Characters>1550</Characters>
  <Lines>12</Lines>
  <Paragraphs>11</Paragraphs>
  <TotalTime>3</TotalTime>
  <ScaleCrop>false</ScaleCrop>
  <LinksUpToDate>false</LinksUpToDate>
  <CharactersWithSpaces>5963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2025-09-15T10:09:00Z</cp:lastPrinted>
  <dcterms:modified xsi:type="dcterms:W3CDTF">2025-09-16T16:08:22Z</dcterms:modified>
  <dc:title>四川省***</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