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before="93"/>
        <w:rPr>
          <w:rFonts w:ascii="Times New Roman" w:eastAsia="方正小标宋简体"/>
          <w:kern w:val="2"/>
          <w:sz w:val="72"/>
          <w:szCs w:val="72"/>
        </w:rPr>
      </w:pPr>
      <w:bookmarkStart w:id="0" w:name="_Toc15396475"/>
      <w:bookmarkStart w:id="1" w:name="_Toc15396597"/>
      <w:bookmarkStart w:id="2" w:name="_Toc15378441"/>
      <w:bookmarkStart w:id="3" w:name="_Toc15377193"/>
      <w:bookmarkStart w:id="4" w:name="_Toc15377425"/>
      <w:bookmarkStart w:id="5" w:name="_Toc15306267"/>
    </w:p>
    <w:p>
      <w:pPr>
        <w:pStyle w:val="8"/>
        <w:spacing w:before="93"/>
        <w:rPr>
          <w:rFonts w:ascii="Times New Roman" w:eastAsia="方正小标宋简体"/>
          <w:kern w:val="2"/>
          <w:sz w:val="72"/>
          <w:szCs w:val="72"/>
        </w:rPr>
      </w:pPr>
    </w:p>
    <w:p>
      <w:pPr>
        <w:pStyle w:val="8"/>
        <w:spacing w:before="93"/>
        <w:rPr>
          <w:rFonts w:ascii="Times New Roman" w:eastAsia="方正小标宋简体"/>
          <w:kern w:val="2"/>
          <w:sz w:val="72"/>
          <w:szCs w:val="72"/>
        </w:rPr>
      </w:pPr>
    </w:p>
    <w:p>
      <w:pPr>
        <w:pStyle w:val="8"/>
        <w:spacing w:before="93"/>
        <w:rPr>
          <w:rFonts w:ascii="Times New Roman" w:eastAsia="方正小标宋简体"/>
          <w:kern w:val="2"/>
          <w:sz w:val="72"/>
          <w:szCs w:val="72"/>
        </w:rPr>
      </w:pPr>
    </w:p>
    <w:p>
      <w:pPr>
        <w:pStyle w:val="8"/>
        <w:spacing w:before="93"/>
        <w:jc w:val="center"/>
        <w:rPr>
          <w:rFonts w:ascii="Times New Roman" w:eastAsia="方正小标宋_GBK"/>
          <w:b/>
          <w:bCs/>
          <w:kern w:val="2"/>
          <w:sz w:val="44"/>
          <w:szCs w:val="44"/>
        </w:rPr>
      </w:pPr>
      <w:r>
        <w:rPr>
          <w:rFonts w:ascii="Times New Roman" w:eastAsia="方正小标宋_GBK"/>
          <w:b/>
          <w:bCs/>
          <w:kern w:val="2"/>
          <w:sz w:val="44"/>
          <w:szCs w:val="44"/>
        </w:rPr>
        <w:t>攀枝花市园林绿化服务中心</w:t>
      </w:r>
    </w:p>
    <w:p>
      <w:pPr>
        <w:pStyle w:val="8"/>
        <w:spacing w:before="93"/>
        <w:jc w:val="center"/>
        <w:rPr>
          <w:rFonts w:ascii="Times New Roman" w:eastAsia="方正小标宋_GBK"/>
          <w:b/>
          <w:bCs/>
          <w:kern w:val="2"/>
          <w:sz w:val="44"/>
          <w:szCs w:val="44"/>
        </w:rPr>
      </w:pPr>
      <w:r>
        <w:rPr>
          <w:rFonts w:ascii="Times New Roman" w:eastAsia="方正小标宋_GBK"/>
          <w:b/>
          <w:bCs/>
          <w:kern w:val="2"/>
          <w:sz w:val="44"/>
          <w:szCs w:val="44"/>
        </w:rPr>
        <w:t>2025年度部门（单位）决算</w:t>
      </w:r>
    </w:p>
    <w:p>
      <w:pPr>
        <w:pStyle w:val="8"/>
        <w:spacing w:before="93"/>
        <w:jc w:val="center"/>
        <w:rPr>
          <w:rFonts w:ascii="Times New Roman" w:eastAsia="方正小标宋_GBK"/>
          <w:b/>
          <w:bCs/>
          <w:kern w:val="2"/>
          <w:sz w:val="44"/>
          <w:szCs w:val="44"/>
        </w:rPr>
      </w:pPr>
      <w:r>
        <w:rPr>
          <w:rFonts w:ascii="Times New Roman" w:eastAsia="方正小标宋_GBK"/>
          <w:b/>
          <w:bCs/>
          <w:kern w:val="2"/>
          <w:sz w:val="44"/>
          <w:szCs w:val="44"/>
        </w:rPr>
        <w:t>公开编制说明</w:t>
      </w:r>
    </w:p>
    <w:p>
      <w:pPr>
        <w:spacing w:line="600" w:lineRule="exact"/>
        <w:jc w:val="center"/>
        <w:outlineLvl w:val="0"/>
        <w:rPr>
          <w:rFonts w:eastAsia="方正小标宋简体"/>
          <w:sz w:val="72"/>
          <w:szCs w:val="72"/>
        </w:rPr>
      </w:pPr>
    </w:p>
    <w:p>
      <w:pPr>
        <w:pStyle w:val="19"/>
        <w:rPr>
          <w:rFonts w:ascii="Times New Roman" w:hAnsi="Times New Roman"/>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425" w:num="1"/>
          <w:titlePg/>
          <w:docGrid w:type="lines" w:linePitch="312" w:charSpace="0"/>
        </w:sectPr>
      </w:pPr>
    </w:p>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p>
      <w:pPr>
        <w:pStyle w:val="8"/>
        <w:spacing w:before="93"/>
        <w:jc w:val="center"/>
        <w:rPr>
          <w:rFonts w:ascii="Times New Roman" w:eastAsia="方正小标宋简体"/>
          <w:kern w:val="2"/>
          <w:sz w:val="44"/>
          <w:szCs w:val="44"/>
        </w:rPr>
      </w:pPr>
    </w:p>
    <w:bookmarkEnd w:id="0"/>
    <w:bookmarkEnd w:id="1"/>
    <w:bookmarkEnd w:id="2"/>
    <w:bookmarkEnd w:id="3"/>
    <w:bookmarkEnd w:id="4"/>
    <w:p>
      <w:pPr>
        <w:pStyle w:val="8"/>
        <w:spacing w:before="93"/>
        <w:jc w:val="center"/>
        <w:rPr>
          <w:rFonts w:ascii="Times New Roman" w:eastAsia="方正小标宋简体"/>
          <w:kern w:val="2"/>
          <w:sz w:val="44"/>
          <w:szCs w:val="44"/>
        </w:rPr>
      </w:pPr>
      <w:bookmarkStart w:id="6" w:name="_Toc15377426"/>
      <w:bookmarkStart w:id="7" w:name="_Toc15377194"/>
      <w:bookmarkStart w:id="8" w:name="_Toc15396476"/>
      <w:bookmarkStart w:id="9" w:name="_Toc15378442"/>
      <w:bookmarkStart w:id="10" w:name="_Toc15396598"/>
      <w:r>
        <w:rPr>
          <w:rFonts w:hint="eastAsia" w:ascii="Times New Roman" w:eastAsia="方正小标宋简体"/>
          <w:kern w:val="2"/>
          <w:sz w:val="44"/>
          <w:szCs w:val="44"/>
        </w:rPr>
        <w:t>2025年度攀枝花市</w:t>
      </w:r>
      <w:bookmarkEnd w:id="5"/>
      <w:bookmarkStart w:id="11" w:name="_Toc15306268"/>
      <w:r>
        <w:rPr>
          <w:rFonts w:hint="eastAsia" w:ascii="Times New Roman" w:eastAsia="方正小标宋简体"/>
          <w:kern w:val="2"/>
          <w:sz w:val="44"/>
          <w:szCs w:val="44"/>
        </w:rPr>
        <w:t>园林绿化服务中心</w:t>
      </w:r>
    </w:p>
    <w:p>
      <w:pPr>
        <w:pStyle w:val="8"/>
        <w:spacing w:before="93"/>
        <w:jc w:val="center"/>
        <w:rPr>
          <w:rFonts w:ascii="Times New Roman" w:eastAsia="方正小标宋简体"/>
          <w:kern w:val="2"/>
          <w:sz w:val="44"/>
          <w:szCs w:val="44"/>
        </w:rPr>
      </w:pPr>
      <w:r>
        <w:rPr>
          <w:rFonts w:hint="eastAsia" w:ascii="Times New Roman" w:eastAsia="方正小标宋简体"/>
          <w:kern w:val="2"/>
          <w:sz w:val="44"/>
          <w:szCs w:val="44"/>
        </w:rPr>
        <w:t>单位决算</w:t>
      </w:r>
      <w:bookmarkEnd w:id="6"/>
      <w:bookmarkEnd w:id="7"/>
      <w:bookmarkEnd w:id="8"/>
      <w:bookmarkEnd w:id="9"/>
      <w:bookmarkEnd w:id="10"/>
      <w:bookmarkEnd w:id="11"/>
    </w:p>
    <w:p>
      <w:pPr>
        <w:pStyle w:val="14"/>
        <w:adjustRightInd w:val="0"/>
        <w:snapToGrid w:val="0"/>
        <w:spacing w:line="560" w:lineRule="exact"/>
        <w:jc w:val="left"/>
        <w:rPr>
          <w:rFonts w:eastAsia="仿宋_GB2312" w:cs="仿宋_GB2312"/>
          <w:sz w:val="32"/>
          <w:szCs w:val="32"/>
        </w:rPr>
      </w:pPr>
    </w:p>
    <w:p>
      <w:pPr>
        <w:widowControl/>
        <w:jc w:val="center"/>
        <w:rPr>
          <w:rFonts w:eastAsia="黑体"/>
          <w:sz w:val="48"/>
          <w:szCs w:val="48"/>
        </w:rPr>
        <w:sectPr>
          <w:footerReference r:id="rId10" w:type="first"/>
          <w:footerReference r:id="rId9" w:type="default"/>
          <w:pgSz w:w="11906" w:h="16838"/>
          <w:pgMar w:top="1440" w:right="1800" w:bottom="1440" w:left="1800" w:header="851" w:footer="992" w:gutter="0"/>
          <w:pgNumType w:start="1"/>
          <w:cols w:space="425" w:num="1"/>
          <w:titlePg/>
          <w:docGrid w:type="lines" w:linePitch="312" w:charSpace="0"/>
        </w:sectPr>
      </w:pPr>
    </w:p>
    <w:p>
      <w:pPr>
        <w:widowControl/>
        <w:jc w:val="center"/>
        <w:rPr>
          <w:rFonts w:eastAsia="黑体"/>
          <w:sz w:val="48"/>
          <w:szCs w:val="48"/>
        </w:rPr>
      </w:pPr>
      <w:r>
        <w:rPr>
          <w:rFonts w:hint="eastAsia" w:eastAsia="黑体"/>
          <w:sz w:val="48"/>
          <w:szCs w:val="48"/>
        </w:rPr>
        <w:t>目录</w:t>
      </w:r>
    </w:p>
    <w:p>
      <w:pPr>
        <w:widowControl/>
        <w:jc w:val="center"/>
        <w:rPr>
          <w:rFonts w:eastAsia="黑体" w:cstheme="minorBidi"/>
          <w:sz w:val="28"/>
          <w:szCs w:val="28"/>
        </w:rPr>
      </w:pPr>
    </w:p>
    <w:p>
      <w:pPr>
        <w:pStyle w:val="13"/>
        <w:rPr>
          <w:rFonts w:ascii="Times New Roman" w:hAnsi="Times New Roman" w:eastAsia="仿宋_GB2312"/>
          <w:sz w:val="32"/>
          <w:szCs w:val="32"/>
        </w:rPr>
      </w:pPr>
      <w:r>
        <w:rPr>
          <w:rFonts w:ascii="Times New Roman" w:hAnsi="Times New Roman" w:eastAsia="仿宋_GB2312"/>
          <w:sz w:val="32"/>
          <w:szCs w:val="32"/>
        </w:rPr>
        <w:t>公开时间：2026年9月1</w:t>
      </w:r>
      <w:r>
        <w:rPr>
          <w:rFonts w:hint="eastAsia" w:ascii="Times New Roman" w:hAnsi="Times New Roman" w:eastAsia="仿宋_GB2312"/>
          <w:sz w:val="32"/>
          <w:szCs w:val="32"/>
          <w:lang w:val="en-US" w:eastAsia="zh-CN"/>
        </w:rPr>
        <w:t>4</w:t>
      </w:r>
      <w:bookmarkStart w:id="75" w:name="_GoBack"/>
      <w:bookmarkEnd w:id="75"/>
      <w:r>
        <w:rPr>
          <w:rFonts w:ascii="Times New Roman" w:hAnsi="Times New Roman" w:eastAsia="仿宋_GB2312"/>
          <w:sz w:val="32"/>
          <w:szCs w:val="32"/>
        </w:rPr>
        <w:t>日</w:t>
      </w:r>
    </w:p>
    <w:p/>
    <w:p>
      <w:pPr>
        <w:pStyle w:val="13"/>
        <w:adjustRightInd w:val="0"/>
        <w:snapToGrid w:val="0"/>
        <w:spacing w:before="0" w:line="560" w:lineRule="exact"/>
        <w:jc w:val="left"/>
        <w:rPr>
          <w:rFonts w:ascii="Times New Roman" w:hAnsi="Times New Roman" w:eastAsia="黑体"/>
          <w:sz w:val="32"/>
          <w:szCs w:val="32"/>
        </w:rPr>
      </w:pPr>
      <w:r>
        <w:rPr>
          <w:rFonts w:ascii="Times New Roman" w:hAnsi="Times New Roman" w:eastAsia="黑体"/>
          <w:sz w:val="32"/>
          <w:szCs w:val="32"/>
        </w:rPr>
        <w:t>第一部分 单位概况………………………………………...</w:t>
      </w:r>
      <w:r>
        <w:rPr>
          <w:rFonts w:hint="eastAsia" w:ascii="Times New Roman" w:hAnsi="Times New Roman" w:eastAsia="黑体"/>
          <w:sz w:val="32"/>
          <w:szCs w:val="32"/>
        </w:rPr>
        <w:t>3</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一、单位职责………………………………………….</w:t>
      </w:r>
      <w:r>
        <w:rPr>
          <w:rFonts w:hint="eastAsia" w:eastAsia="仿宋_GB2312"/>
          <w:sz w:val="32"/>
          <w:szCs w:val="32"/>
        </w:rPr>
        <w:t>3</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二、机构设置………………………………………….</w:t>
      </w:r>
      <w:r>
        <w:rPr>
          <w:rFonts w:hint="eastAsia" w:eastAsia="仿宋_GB2312"/>
          <w:sz w:val="32"/>
          <w:szCs w:val="32"/>
        </w:rPr>
        <w:t>3</w:t>
      </w:r>
    </w:p>
    <w:p>
      <w:pPr>
        <w:pStyle w:val="13"/>
        <w:adjustRightInd w:val="0"/>
        <w:snapToGrid w:val="0"/>
        <w:spacing w:before="0" w:line="560" w:lineRule="exact"/>
        <w:jc w:val="left"/>
        <w:rPr>
          <w:rFonts w:ascii="Times New Roman" w:hAnsi="Times New Roman" w:eastAsia="黑体"/>
          <w:sz w:val="32"/>
          <w:szCs w:val="32"/>
        </w:rPr>
      </w:pPr>
      <w:r>
        <w:rPr>
          <w:rFonts w:ascii="Times New Roman" w:hAnsi="Times New Roman" w:eastAsia="黑体"/>
          <w:sz w:val="32"/>
          <w:szCs w:val="32"/>
        </w:rPr>
        <w:t>第二部分 2025年度单位决算情况说明…………………</w:t>
      </w:r>
      <w:r>
        <w:rPr>
          <w:rFonts w:hint="eastAsia" w:ascii="Times New Roman" w:hAnsi="Times New Roman" w:eastAsia="黑体"/>
          <w:sz w:val="32"/>
          <w:szCs w:val="32"/>
        </w:rPr>
        <w:t>..4</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一、收入支出决算总体情况说明…………………….</w:t>
      </w:r>
      <w:r>
        <w:rPr>
          <w:rFonts w:hint="eastAsia" w:eastAsia="仿宋_GB2312"/>
          <w:sz w:val="32"/>
          <w:szCs w:val="32"/>
        </w:rPr>
        <w:t>4</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二、收入决算情况说明……………………………….</w:t>
      </w:r>
      <w:r>
        <w:rPr>
          <w:rFonts w:hint="eastAsia" w:eastAsia="仿宋_GB2312"/>
          <w:sz w:val="32"/>
          <w:szCs w:val="32"/>
        </w:rPr>
        <w:t>4</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三、支出决算情况说明……………………………….</w:t>
      </w:r>
      <w:r>
        <w:rPr>
          <w:rFonts w:hint="eastAsia" w:eastAsia="仿宋_GB2312"/>
          <w:sz w:val="32"/>
          <w:szCs w:val="32"/>
        </w:rPr>
        <w:t>5</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四、财政拨款收入支出决算总体情况说明………….</w:t>
      </w:r>
      <w:r>
        <w:rPr>
          <w:rFonts w:hint="eastAsia" w:eastAsia="仿宋_GB2312"/>
          <w:sz w:val="32"/>
          <w:szCs w:val="32"/>
        </w:rPr>
        <w:t>6</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五、一般公共预算财政拨款支出决算情况说明…….</w:t>
      </w:r>
      <w:r>
        <w:rPr>
          <w:rFonts w:hint="eastAsia" w:eastAsia="仿宋_GB2312"/>
          <w:sz w:val="32"/>
          <w:szCs w:val="32"/>
        </w:rPr>
        <w:t>6</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六、一般公共预算财政拨款基本支出决算情况说明</w:t>
      </w:r>
      <w:r>
        <w:rPr>
          <w:rFonts w:hint="eastAsia" w:eastAsia="仿宋_GB2312"/>
          <w:sz w:val="32"/>
          <w:szCs w:val="32"/>
        </w:rPr>
        <w:t>9</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七、财政拨款“三公”经费支出决算情况说明…….…</w:t>
      </w:r>
      <w:r>
        <w:rPr>
          <w:rFonts w:hint="eastAsia" w:eastAsia="仿宋_GB2312"/>
          <w:sz w:val="32"/>
          <w:szCs w:val="32"/>
        </w:rPr>
        <w:t>9</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八、政府性基金预算支出决算情况说明……………</w:t>
      </w:r>
      <w:r>
        <w:rPr>
          <w:rFonts w:hint="eastAsia" w:eastAsia="仿宋_GB2312"/>
          <w:sz w:val="32"/>
          <w:szCs w:val="32"/>
        </w:rPr>
        <w:t>11</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九、国有资本经营预算支出决算情况说明…………</w:t>
      </w:r>
      <w:r>
        <w:rPr>
          <w:rFonts w:hint="eastAsia" w:eastAsia="仿宋_GB2312"/>
          <w:sz w:val="32"/>
          <w:szCs w:val="32"/>
        </w:rPr>
        <w:t>12</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十、其他重要事项的情况说明………………………1</w:t>
      </w:r>
      <w:r>
        <w:rPr>
          <w:rFonts w:hint="eastAsia" w:eastAsia="仿宋_GB2312"/>
          <w:sz w:val="32"/>
          <w:szCs w:val="32"/>
        </w:rPr>
        <w:t>2</w:t>
      </w:r>
    </w:p>
    <w:p>
      <w:pPr>
        <w:pStyle w:val="13"/>
        <w:adjustRightInd w:val="0"/>
        <w:snapToGrid w:val="0"/>
        <w:spacing w:before="0" w:line="560" w:lineRule="exact"/>
        <w:jc w:val="left"/>
        <w:rPr>
          <w:rFonts w:ascii="Times New Roman" w:hAnsi="Times New Roman" w:eastAsia="黑体"/>
          <w:sz w:val="32"/>
          <w:szCs w:val="32"/>
        </w:rPr>
      </w:pPr>
      <w:r>
        <w:rPr>
          <w:rFonts w:ascii="Times New Roman" w:hAnsi="Times New Roman" w:eastAsia="黑体"/>
          <w:sz w:val="32"/>
          <w:szCs w:val="32"/>
        </w:rPr>
        <w:t>第三部分 名词解释………………………………………</w:t>
      </w:r>
      <w:r>
        <w:rPr>
          <w:rFonts w:hint="eastAsia" w:ascii="Times New Roman" w:hAnsi="Times New Roman" w:eastAsia="黑体"/>
          <w:sz w:val="32"/>
          <w:szCs w:val="32"/>
        </w:rPr>
        <w:t>...</w:t>
      </w:r>
      <w:r>
        <w:rPr>
          <w:rFonts w:ascii="Times New Roman" w:hAnsi="Times New Roman" w:eastAsia="黑体"/>
          <w:sz w:val="32"/>
          <w:szCs w:val="32"/>
        </w:rPr>
        <w:t>12</w:t>
      </w:r>
    </w:p>
    <w:p>
      <w:pPr>
        <w:pStyle w:val="13"/>
        <w:adjustRightInd w:val="0"/>
        <w:snapToGrid w:val="0"/>
        <w:spacing w:before="0" w:line="560" w:lineRule="exact"/>
        <w:jc w:val="left"/>
        <w:rPr>
          <w:rFonts w:ascii="Times New Roman" w:hAnsi="Times New Roman" w:eastAsia="黑体"/>
          <w:sz w:val="32"/>
          <w:szCs w:val="32"/>
        </w:rPr>
      </w:pPr>
      <w:r>
        <w:rPr>
          <w:rFonts w:ascii="Times New Roman" w:hAnsi="Times New Roman" w:eastAsia="黑体"/>
          <w:sz w:val="32"/>
          <w:szCs w:val="32"/>
        </w:rPr>
        <w:t>第四部分 附件…………………………………………….</w:t>
      </w:r>
      <w:r>
        <w:rPr>
          <w:rFonts w:hint="eastAsia" w:ascii="Times New Roman" w:hAnsi="Times New Roman" w:eastAsia="黑体"/>
          <w:sz w:val="32"/>
          <w:szCs w:val="32"/>
        </w:rPr>
        <w:t>..</w:t>
      </w:r>
      <w:r>
        <w:rPr>
          <w:rFonts w:ascii="Times New Roman" w:hAnsi="Times New Roman" w:eastAsia="黑体"/>
          <w:sz w:val="32"/>
          <w:szCs w:val="32"/>
        </w:rPr>
        <w:t>15</w:t>
      </w:r>
    </w:p>
    <w:p>
      <w:pPr>
        <w:pStyle w:val="13"/>
        <w:adjustRightInd w:val="0"/>
        <w:snapToGrid w:val="0"/>
        <w:spacing w:before="0" w:line="560" w:lineRule="exact"/>
        <w:jc w:val="left"/>
        <w:rPr>
          <w:rFonts w:ascii="Times New Roman" w:hAnsi="Times New Roman" w:eastAsia="黑体"/>
          <w:sz w:val="32"/>
          <w:szCs w:val="32"/>
        </w:rPr>
      </w:pPr>
      <w:r>
        <w:rPr>
          <w:rFonts w:ascii="Times New Roman" w:hAnsi="Times New Roman" w:eastAsia="黑体"/>
          <w:sz w:val="32"/>
          <w:szCs w:val="32"/>
        </w:rPr>
        <w:t>第五部分 附表…………………………………………….</w:t>
      </w:r>
      <w:r>
        <w:rPr>
          <w:rFonts w:hint="eastAsia" w:ascii="Times New Roman" w:hAnsi="Times New Roman" w:eastAsia="黑体"/>
          <w:sz w:val="32"/>
          <w:szCs w:val="32"/>
        </w:rPr>
        <w:t>..</w:t>
      </w:r>
      <w:r>
        <w:rPr>
          <w:rFonts w:ascii="Times New Roman" w:hAnsi="Times New Roman" w:eastAsia="黑体"/>
          <w:sz w:val="32"/>
          <w:szCs w:val="32"/>
        </w:rPr>
        <w:t>1</w:t>
      </w:r>
      <w:r>
        <w:rPr>
          <w:rFonts w:hint="eastAsia" w:ascii="Times New Roman" w:hAnsi="Times New Roman" w:eastAsia="黑体"/>
          <w:sz w:val="32"/>
          <w:szCs w:val="32"/>
        </w:rPr>
        <w:t>8</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一、收入支出决算总表…………………………....…1</w:t>
      </w:r>
      <w:r>
        <w:rPr>
          <w:rFonts w:hint="eastAsia" w:eastAsia="仿宋_GB2312"/>
          <w:sz w:val="32"/>
          <w:szCs w:val="32"/>
        </w:rPr>
        <w:t>8</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二、收入决算表…………………………………...….1</w:t>
      </w:r>
      <w:r>
        <w:rPr>
          <w:rFonts w:hint="eastAsia" w:eastAsia="仿宋_GB2312"/>
          <w:sz w:val="32"/>
          <w:szCs w:val="32"/>
        </w:rPr>
        <w:t>8</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三、支出决算表…………………………………....…1</w:t>
      </w:r>
      <w:r>
        <w:rPr>
          <w:rFonts w:hint="eastAsia" w:eastAsia="仿宋_GB2312"/>
          <w:sz w:val="32"/>
          <w:szCs w:val="32"/>
        </w:rPr>
        <w:t>8</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四、财政拨款收入支出决算总表……………………1</w:t>
      </w:r>
      <w:r>
        <w:rPr>
          <w:rFonts w:hint="eastAsia" w:eastAsia="仿宋_GB2312"/>
          <w:sz w:val="32"/>
          <w:szCs w:val="32"/>
        </w:rPr>
        <w:t>8</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五、财政拨款支出决算明细表………………………1</w:t>
      </w:r>
      <w:r>
        <w:rPr>
          <w:rFonts w:hint="eastAsia" w:eastAsia="仿宋_GB2312"/>
          <w:sz w:val="32"/>
          <w:szCs w:val="32"/>
        </w:rPr>
        <w:t>8</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六、一般公共预算财政拨款支出决算表………….</w:t>
      </w:r>
      <w:r>
        <w:rPr>
          <w:rFonts w:hint="eastAsia" w:eastAsia="仿宋_GB2312"/>
          <w:sz w:val="32"/>
          <w:szCs w:val="32"/>
        </w:rPr>
        <w:t>..</w:t>
      </w:r>
      <w:r>
        <w:rPr>
          <w:rFonts w:eastAsia="仿宋_GB2312"/>
          <w:sz w:val="32"/>
          <w:szCs w:val="32"/>
        </w:rPr>
        <w:t>.1</w:t>
      </w:r>
      <w:r>
        <w:rPr>
          <w:rFonts w:hint="eastAsia" w:eastAsia="仿宋_GB2312"/>
          <w:sz w:val="32"/>
          <w:szCs w:val="32"/>
        </w:rPr>
        <w:t>8</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七、一般公共预算财政拨款支出决算明细表………1</w:t>
      </w:r>
      <w:r>
        <w:rPr>
          <w:rFonts w:hint="eastAsia" w:eastAsia="仿宋_GB2312"/>
          <w:sz w:val="32"/>
          <w:szCs w:val="32"/>
        </w:rPr>
        <w:t>8</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八、一般公共预算财政拨款基本支出决算明细表..</w:t>
      </w:r>
      <w:r>
        <w:rPr>
          <w:rFonts w:hint="eastAsia" w:eastAsia="仿宋_GB2312"/>
          <w:sz w:val="32"/>
          <w:szCs w:val="32"/>
        </w:rPr>
        <w:t>..</w:t>
      </w:r>
      <w:r>
        <w:rPr>
          <w:rFonts w:eastAsia="仿宋_GB2312"/>
          <w:sz w:val="32"/>
          <w:szCs w:val="32"/>
        </w:rPr>
        <w:t>1</w:t>
      </w:r>
      <w:r>
        <w:rPr>
          <w:rFonts w:hint="eastAsia" w:eastAsia="仿宋_GB2312"/>
          <w:sz w:val="32"/>
          <w:szCs w:val="32"/>
        </w:rPr>
        <w:t>8</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九、一般公共预算财政拨款项目支出决算表…....…1</w:t>
      </w:r>
      <w:r>
        <w:rPr>
          <w:rFonts w:hint="eastAsia" w:eastAsia="仿宋_GB2312"/>
          <w:sz w:val="32"/>
          <w:szCs w:val="32"/>
        </w:rPr>
        <w:t>8</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十、政府性基金预算财政拨款收入支出决算表……1</w:t>
      </w:r>
      <w:r>
        <w:rPr>
          <w:rFonts w:hint="eastAsia" w:eastAsia="仿宋_GB2312"/>
          <w:sz w:val="32"/>
          <w:szCs w:val="32"/>
        </w:rPr>
        <w:t>8</w:t>
      </w:r>
    </w:p>
    <w:p>
      <w:pPr>
        <w:pStyle w:val="14"/>
        <w:adjustRightInd w:val="0"/>
        <w:snapToGrid w:val="0"/>
        <w:spacing w:line="560" w:lineRule="exact"/>
        <w:ind w:left="638" w:leftChars="304"/>
        <w:jc w:val="left"/>
        <w:rPr>
          <w:rFonts w:eastAsia="仿宋_GB2312"/>
          <w:sz w:val="32"/>
          <w:szCs w:val="32"/>
        </w:rPr>
      </w:pPr>
      <w:r>
        <w:rPr>
          <w:rFonts w:eastAsia="仿宋_GB2312"/>
          <w:sz w:val="32"/>
          <w:szCs w:val="32"/>
        </w:rPr>
        <w:t>十一、国有资本经营预算财政拨款收入支出决算表(此表无数据)……………………………………………..…</w:t>
      </w:r>
      <w:r>
        <w:rPr>
          <w:rFonts w:hint="eastAsia" w:eastAsia="仿宋_GB2312"/>
          <w:sz w:val="32"/>
          <w:szCs w:val="32"/>
        </w:rPr>
        <w:t>..</w:t>
      </w:r>
      <w:r>
        <w:rPr>
          <w:rFonts w:eastAsia="仿宋_GB2312"/>
          <w:sz w:val="32"/>
          <w:szCs w:val="32"/>
        </w:rPr>
        <w:t>1</w:t>
      </w:r>
      <w:r>
        <w:rPr>
          <w:rFonts w:hint="eastAsia" w:eastAsia="仿宋_GB2312"/>
          <w:sz w:val="32"/>
          <w:szCs w:val="32"/>
        </w:rPr>
        <w:t>8</w:t>
      </w:r>
    </w:p>
    <w:p>
      <w:pPr>
        <w:pStyle w:val="14"/>
        <w:adjustRightInd w:val="0"/>
        <w:snapToGrid w:val="0"/>
        <w:spacing w:line="560" w:lineRule="exact"/>
        <w:ind w:left="638" w:leftChars="304"/>
        <w:jc w:val="left"/>
        <w:rPr>
          <w:rFonts w:eastAsia="仿宋_GB2312"/>
          <w:sz w:val="32"/>
          <w:szCs w:val="32"/>
        </w:rPr>
      </w:pPr>
      <w:r>
        <w:rPr>
          <w:rFonts w:eastAsia="仿宋_GB2312"/>
          <w:sz w:val="32"/>
          <w:szCs w:val="32"/>
        </w:rPr>
        <w:t>十二、国有资本经营预算财政拨款支出决算表（此表无数据）…………………………………………………</w:t>
      </w:r>
      <w:r>
        <w:rPr>
          <w:rFonts w:hint="eastAsia" w:eastAsia="仿宋_GB2312"/>
          <w:sz w:val="32"/>
          <w:szCs w:val="32"/>
        </w:rPr>
        <w:t>..</w:t>
      </w:r>
      <w:r>
        <w:rPr>
          <w:rFonts w:eastAsia="仿宋_GB2312"/>
          <w:sz w:val="32"/>
          <w:szCs w:val="32"/>
        </w:rPr>
        <w:t>1</w:t>
      </w:r>
      <w:r>
        <w:rPr>
          <w:rFonts w:hint="eastAsia" w:eastAsia="仿宋_GB2312"/>
          <w:sz w:val="32"/>
          <w:szCs w:val="32"/>
        </w:rPr>
        <w:t>8</w:t>
      </w:r>
    </w:p>
    <w:p>
      <w:pPr>
        <w:pStyle w:val="14"/>
        <w:adjustRightInd w:val="0"/>
        <w:snapToGrid w:val="0"/>
        <w:spacing w:line="560" w:lineRule="exact"/>
        <w:ind w:left="0" w:leftChars="0" w:firstLine="640" w:firstLineChars="200"/>
        <w:jc w:val="left"/>
        <w:rPr>
          <w:rFonts w:eastAsia="仿宋_GB2312"/>
          <w:sz w:val="32"/>
          <w:szCs w:val="32"/>
        </w:rPr>
      </w:pPr>
      <w:r>
        <w:rPr>
          <w:rFonts w:eastAsia="仿宋_GB2312"/>
          <w:sz w:val="32"/>
          <w:szCs w:val="32"/>
        </w:rPr>
        <w:t>十三、财政拨款“三公”经费支出决算表.……….…</w:t>
      </w:r>
      <w:r>
        <w:rPr>
          <w:rFonts w:hint="eastAsia" w:eastAsia="仿宋_GB2312"/>
          <w:sz w:val="32"/>
          <w:szCs w:val="32"/>
        </w:rPr>
        <w:t>....</w:t>
      </w:r>
      <w:r>
        <w:rPr>
          <w:rFonts w:eastAsia="仿宋_GB2312"/>
          <w:sz w:val="32"/>
          <w:szCs w:val="32"/>
        </w:rPr>
        <w:t>1</w:t>
      </w:r>
      <w:r>
        <w:rPr>
          <w:rFonts w:hint="eastAsia" w:eastAsia="仿宋_GB2312"/>
          <w:sz w:val="32"/>
          <w:szCs w:val="32"/>
        </w:rPr>
        <w:t>8</w:t>
      </w:r>
    </w:p>
    <w:p>
      <w:pPr>
        <w:widowControl/>
        <w:spacing w:line="560" w:lineRule="exact"/>
        <w:jc w:val="left"/>
        <w:rPr>
          <w:rFonts w:eastAsia="仿宋_GB2312" w:cs="仿宋_GB2312"/>
          <w:bCs/>
          <w:kern w:val="44"/>
          <w:sz w:val="32"/>
          <w:szCs w:val="32"/>
        </w:rPr>
      </w:pPr>
      <w:bookmarkStart w:id="12" w:name="_Toc15377196"/>
      <w:bookmarkStart w:id="13" w:name="_Toc15396599"/>
      <w:r>
        <w:rPr>
          <w:rFonts w:hint="eastAsia" w:eastAsia="仿宋_GB2312" w:cs="仿宋_GB2312"/>
          <w:b/>
          <w:sz w:val="32"/>
          <w:szCs w:val="32"/>
        </w:rPr>
        <w:br w:type="page"/>
      </w:r>
    </w:p>
    <w:p>
      <w:pPr>
        <w:pStyle w:val="5"/>
        <w:jc w:val="center"/>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rPr>
        <w:t>单位概况</w:t>
      </w:r>
      <w:bookmarkEnd w:id="12"/>
      <w:bookmarkEnd w:id="13"/>
    </w:p>
    <w:p>
      <w:pPr>
        <w:widowControl/>
        <w:jc w:val="left"/>
        <w:rPr>
          <w:rFonts w:eastAsia="黑体"/>
          <w:sz w:val="32"/>
          <w:szCs w:val="32"/>
        </w:rPr>
      </w:pPr>
    </w:p>
    <w:p>
      <w:pPr>
        <w:pStyle w:val="6"/>
        <w:rPr>
          <w:rFonts w:ascii="Times New Roman" w:hAnsi="Times New Roman" w:eastAsia="黑体"/>
          <w:b w:val="0"/>
        </w:rPr>
      </w:pPr>
      <w:bookmarkStart w:id="14" w:name="_Toc15377197"/>
      <w:bookmarkStart w:id="15" w:name="_Toc15396600"/>
      <w:r>
        <w:rPr>
          <w:rFonts w:hint="eastAsia" w:ascii="Times New Roman" w:hAnsi="Times New Roman" w:eastAsia="黑体"/>
          <w:b w:val="0"/>
        </w:rPr>
        <w:t>一、</w:t>
      </w:r>
      <w:bookmarkEnd w:id="14"/>
      <w:bookmarkEnd w:id="15"/>
      <w:r>
        <w:rPr>
          <w:rFonts w:hint="eastAsia" w:ascii="Times New Roman" w:hAnsi="Times New Roman" w:eastAsia="黑体"/>
          <w:b w:val="0"/>
        </w:rPr>
        <w:t>单位职责</w:t>
      </w:r>
    </w:p>
    <w:p>
      <w:pPr>
        <w:ind w:firstLine="640" w:firstLineChars="200"/>
      </w:pPr>
      <w:r>
        <w:rPr>
          <w:rFonts w:hint="eastAsia" w:ascii="仿宋_GB2312" w:hAnsi="仿宋" w:eastAsia="仿宋_GB2312"/>
          <w:sz w:val="32"/>
          <w:szCs w:val="32"/>
        </w:rPr>
        <w:t>攀枝花市园林绿化服务中心主要从事贯彻落实城市园林绿化法律法规；参与城市绿地系统规划和修编、城市园林绿化行业标准技术规范编制和技术指导工作；开展城市公共绿地和竹湖园公园建设、改造、管理、园林绿化景观设计等工作；协助开展城市园林绿化行政许可事项的具体工作；负责绿化工程施工行业指导，为绿化工程项目及城市建设项目附属绿化工程方案审查、竣工验收提供技术支撑；配合主管局对区、县园林绿化景观建设及绿化养护质量进行技术指导和督导考核；开展园林植物研究保护和园林科学技术运用推广工作；开展城市规划区内古树名木保护技术指导工作；完成市城管执法局交办的其他任务。</w:t>
      </w:r>
    </w:p>
    <w:p>
      <w:pPr>
        <w:pStyle w:val="6"/>
        <w:rPr>
          <w:rStyle w:val="29"/>
          <w:rFonts w:ascii="Times New Roman" w:hAnsi="Times New Roman"/>
          <w:b w:val="0"/>
          <w:bCs w:val="0"/>
        </w:rPr>
      </w:pPr>
      <w:bookmarkStart w:id="16" w:name="_Toc15377200"/>
      <w:bookmarkStart w:id="17" w:name="_Toc15396601"/>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16"/>
      <w:bookmarkEnd w:id="17"/>
    </w:p>
    <w:p>
      <w:pPr>
        <w:ind w:firstLine="640" w:firstLineChars="200"/>
        <w:rPr>
          <w:rFonts w:ascii="仿宋" w:eastAsia="仿宋"/>
          <w:sz w:val="32"/>
          <w:szCs w:val="32"/>
        </w:rPr>
      </w:pPr>
      <w:r>
        <w:rPr>
          <w:rFonts w:hint="eastAsia" w:ascii="仿宋_GB2312" w:hAnsi="仿宋" w:eastAsia="仿宋_GB2312"/>
          <w:sz w:val="32"/>
          <w:szCs w:val="32"/>
        </w:rPr>
        <w:t>攀枝花市园林绿化服务中心为攀枝花市城市管理行政执法局所属的二级预算单位，单位性质为全额拨款的一类事业单位</w:t>
      </w:r>
      <w:r>
        <w:rPr>
          <w:rFonts w:hint="eastAsia" w:ascii="仿宋" w:eastAsia="仿宋"/>
          <w:sz w:val="32"/>
          <w:szCs w:val="32"/>
        </w:rPr>
        <w:t>，实行的是政府会计准则制度。</w:t>
      </w:r>
    </w:p>
    <w:p>
      <w:pPr>
        <w:pStyle w:val="2"/>
      </w:pPr>
    </w:p>
    <w:p>
      <w:pPr>
        <w:ind w:firstLine="800" w:firstLineChars="250"/>
        <w:rPr>
          <w:rFonts w:eastAsia="仿宋_GB2312" w:cs="仿宋_GB2312"/>
          <w:sz w:val="32"/>
          <w:szCs w:val="32"/>
        </w:rPr>
      </w:pPr>
    </w:p>
    <w:p>
      <w:pPr>
        <w:pStyle w:val="5"/>
        <w:jc w:val="center"/>
      </w:pPr>
      <w:bookmarkStart w:id="18" w:name="_Toc15377204"/>
      <w:bookmarkStart w:id="19" w:name="_Toc15396602"/>
      <w:r>
        <w:rPr>
          <w:rFonts w:hint="eastAsia" w:eastAsia="方正小标宋简体" w:cs="方正小标宋简体"/>
          <w:b w:val="0"/>
        </w:rPr>
        <w:t>第二部分  2025年度单位决算情况说明</w:t>
      </w:r>
      <w:bookmarkEnd w:id="18"/>
      <w:bookmarkEnd w:id="19"/>
    </w:p>
    <w:p>
      <w:pPr>
        <w:pStyle w:val="27"/>
        <w:spacing w:line="560" w:lineRule="exact"/>
        <w:ind w:firstLine="640"/>
        <w:outlineLvl w:val="1"/>
        <w:rPr>
          <w:rStyle w:val="29"/>
          <w:rFonts w:ascii="Times New Roman" w:hAnsi="Times New Roman" w:eastAsia="黑体" w:cs="Times New Roman"/>
          <w:b w:val="0"/>
        </w:rPr>
      </w:pPr>
      <w:bookmarkStart w:id="20" w:name="_Toc15396603"/>
      <w:bookmarkStart w:id="21" w:name="_Toc15377205"/>
      <w:r>
        <w:rPr>
          <w:rFonts w:eastAsia="黑体"/>
          <w:sz w:val="32"/>
          <w:szCs w:val="32"/>
        </w:rPr>
        <w:t>一、收</w:t>
      </w:r>
      <w:r>
        <w:rPr>
          <w:rStyle w:val="29"/>
          <w:rFonts w:ascii="Times New Roman" w:hAnsi="Times New Roman" w:eastAsia="黑体" w:cs="Times New Roman"/>
          <w:b w:val="0"/>
        </w:rPr>
        <w:t>入支出决算总体情况说明</w:t>
      </w:r>
      <w:bookmarkEnd w:id="20"/>
      <w:bookmarkEnd w:id="21"/>
    </w:p>
    <w:p>
      <w:pPr>
        <w:snapToGrid w:val="0"/>
        <w:spacing w:line="560" w:lineRule="exact"/>
        <w:ind w:firstLine="640" w:firstLineChars="200"/>
        <w:rPr>
          <w:rFonts w:eastAsia="仿宋_GB2312"/>
          <w:sz w:val="32"/>
          <w:szCs w:val="32"/>
        </w:rPr>
      </w:pPr>
      <w:r>
        <w:rPr>
          <w:rFonts w:eastAsia="仿宋_GB2312"/>
          <w:sz w:val="32"/>
          <w:szCs w:val="32"/>
        </w:rPr>
        <w:t>2025年度收入、支出总计均为6661.09万元，与上年度相比，收入、支出总计各减少255.01万元，下降3.69%。主要变动原因是：</w:t>
      </w:r>
      <w:bookmarkStart w:id="22" w:name="OLE_LINK24"/>
      <w:bookmarkStart w:id="23" w:name="OLE_LINK18"/>
      <w:bookmarkStart w:id="24" w:name="OLE_LINK23"/>
      <w:bookmarkStart w:id="25" w:name="OLE_LINK17"/>
      <w:r>
        <w:rPr>
          <w:rFonts w:eastAsia="仿宋_GB2312"/>
          <w:sz w:val="32"/>
          <w:szCs w:val="32"/>
        </w:rPr>
        <w:t>2025年度压减了公用经费，减少了项目经费。</w:t>
      </w:r>
    </w:p>
    <w:bookmarkEnd w:id="22"/>
    <w:bookmarkEnd w:id="23"/>
    <w:bookmarkEnd w:id="24"/>
    <w:bookmarkEnd w:id="25"/>
    <w:p>
      <w:pPr>
        <w:spacing w:line="560" w:lineRule="exact"/>
        <w:jc w:val="center"/>
        <w:outlineLvl w:val="1"/>
        <w:rPr>
          <w:rFonts w:eastAsia="仿宋_GB2312"/>
          <w:sz w:val="32"/>
          <w:szCs w:val="32"/>
        </w:rPr>
      </w:pPr>
      <w:r>
        <w:rPr>
          <w:rFonts w:eastAsia="仿宋_GB2312"/>
          <w:sz w:val="32"/>
          <w:szCs w:val="32"/>
        </w:rPr>
        <w:drawing>
          <wp:anchor distT="0" distB="0" distL="114300" distR="114300" simplePos="0" relativeHeight="251659264" behindDoc="0" locked="0" layoutInCell="1" allowOverlap="1">
            <wp:simplePos x="0" y="0"/>
            <wp:positionH relativeFrom="column">
              <wp:posOffset>438150</wp:posOffset>
            </wp:positionH>
            <wp:positionV relativeFrom="paragraph">
              <wp:posOffset>140335</wp:posOffset>
            </wp:positionV>
            <wp:extent cx="4448175" cy="2571750"/>
            <wp:effectExtent l="4445" t="4445" r="5080" b="14605"/>
            <wp:wrapTopAndBottom/>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eastAsia="仿宋_GB2312"/>
          <w:sz w:val="32"/>
          <w:szCs w:val="32"/>
        </w:rPr>
        <w:t>（图1：收入、支出决算总计变动情况图）（柱状图）</w:t>
      </w:r>
      <w:bookmarkStart w:id="26" w:name="_Toc15377206"/>
      <w:bookmarkStart w:id="27" w:name="_Toc15396604"/>
    </w:p>
    <w:p>
      <w:pPr>
        <w:pStyle w:val="27"/>
        <w:spacing w:line="560" w:lineRule="exact"/>
        <w:ind w:firstLine="0" w:firstLineChars="0"/>
        <w:outlineLvl w:val="1"/>
        <w:rPr>
          <w:rFonts w:eastAsia="黑体"/>
          <w:sz w:val="32"/>
          <w:szCs w:val="32"/>
        </w:rPr>
      </w:pPr>
    </w:p>
    <w:p>
      <w:pPr>
        <w:pStyle w:val="27"/>
        <w:spacing w:line="560" w:lineRule="exact"/>
        <w:ind w:firstLine="640"/>
        <w:outlineLvl w:val="1"/>
        <w:rPr>
          <w:rFonts w:eastAsia="黑体"/>
          <w:sz w:val="32"/>
          <w:szCs w:val="32"/>
        </w:rPr>
      </w:pPr>
      <w:r>
        <w:rPr>
          <w:rFonts w:eastAsia="黑体"/>
          <w:sz w:val="32"/>
          <w:szCs w:val="32"/>
        </w:rPr>
        <w:t>二、收入决算情况说明</w:t>
      </w:r>
      <w:bookmarkEnd w:id="26"/>
      <w:bookmarkEnd w:id="27"/>
    </w:p>
    <w:p>
      <w:pPr>
        <w:pStyle w:val="27"/>
        <w:spacing w:line="560" w:lineRule="exact"/>
        <w:ind w:firstLine="640"/>
        <w:outlineLvl w:val="1"/>
        <w:rPr>
          <w:rFonts w:eastAsia="仿宋_GB2312"/>
          <w:sz w:val="32"/>
          <w:szCs w:val="32"/>
        </w:rPr>
      </w:pPr>
      <w:r>
        <w:rPr>
          <w:rFonts w:eastAsia="仿宋_GB2312"/>
          <w:sz w:val="32"/>
          <w:szCs w:val="32"/>
        </w:rPr>
        <w:t>2025年度本年收入合计6661.09万元，其中一般公共预算财政拨款收入6374.96万元，占95.7%；政府性基金预算财政拨款收入286.13万元，占4.3%。</w:t>
      </w:r>
    </w:p>
    <w:p>
      <w:pPr>
        <w:pStyle w:val="27"/>
        <w:spacing w:line="400" w:lineRule="exact"/>
        <w:ind w:firstLine="640"/>
        <w:outlineLvl w:val="1"/>
        <w:rPr>
          <w:rFonts w:eastAsia="仿宋_GB2312"/>
          <w:sz w:val="32"/>
          <w:szCs w:val="32"/>
        </w:rPr>
      </w:pPr>
    </w:p>
    <w:p>
      <w:pPr>
        <w:pStyle w:val="27"/>
        <w:spacing w:line="400" w:lineRule="exact"/>
        <w:ind w:firstLine="640"/>
        <w:outlineLvl w:val="1"/>
        <w:rPr>
          <w:rFonts w:eastAsia="仿宋_GB2312"/>
          <w:sz w:val="32"/>
          <w:szCs w:val="32"/>
        </w:rPr>
      </w:pPr>
    </w:p>
    <w:p>
      <w:pPr>
        <w:spacing w:line="560" w:lineRule="exact"/>
        <w:jc w:val="center"/>
        <w:outlineLvl w:val="1"/>
        <w:rPr>
          <w:rFonts w:eastAsia="仿宋_GB2312"/>
          <w:sz w:val="32"/>
          <w:szCs w:val="32"/>
        </w:rPr>
      </w:pPr>
      <w:r>
        <w:rPr>
          <w:rFonts w:eastAsia="仿宋_GB2312"/>
          <w:sz w:val="32"/>
          <w:szCs w:val="32"/>
        </w:rPr>
        <w:drawing>
          <wp:anchor distT="0" distB="0" distL="114300" distR="114300" simplePos="0" relativeHeight="251660288" behindDoc="0" locked="0" layoutInCell="1" allowOverlap="1">
            <wp:simplePos x="0" y="0"/>
            <wp:positionH relativeFrom="column">
              <wp:posOffset>600075</wp:posOffset>
            </wp:positionH>
            <wp:positionV relativeFrom="paragraph">
              <wp:posOffset>123825</wp:posOffset>
            </wp:positionV>
            <wp:extent cx="4438650" cy="2657475"/>
            <wp:effectExtent l="19050" t="0" r="19050" b="0"/>
            <wp:wrapTopAndBottom/>
            <wp:docPr id="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eastAsia="仿宋_GB2312"/>
          <w:sz w:val="32"/>
          <w:szCs w:val="32"/>
        </w:rPr>
        <w:t>（图2：收入决算结构图）（饼状图）</w:t>
      </w:r>
      <w:bookmarkStart w:id="28" w:name="_Toc15377207"/>
      <w:bookmarkStart w:id="29" w:name="_Toc15396605"/>
    </w:p>
    <w:p>
      <w:pPr>
        <w:pStyle w:val="2"/>
        <w:spacing w:line="560" w:lineRule="exact"/>
      </w:pPr>
    </w:p>
    <w:p>
      <w:pPr>
        <w:pStyle w:val="27"/>
        <w:spacing w:line="560" w:lineRule="exact"/>
        <w:ind w:firstLine="640"/>
        <w:outlineLvl w:val="1"/>
        <w:rPr>
          <w:rStyle w:val="29"/>
          <w:rFonts w:ascii="Times New Roman" w:hAnsi="Times New Roman" w:eastAsia="黑体" w:cs="Times New Roman"/>
          <w:b w:val="0"/>
        </w:rPr>
      </w:pPr>
      <w:r>
        <w:rPr>
          <w:rFonts w:eastAsia="黑体"/>
          <w:sz w:val="32"/>
          <w:szCs w:val="32"/>
        </w:rPr>
        <w:t>三、支</w:t>
      </w:r>
      <w:r>
        <w:rPr>
          <w:rStyle w:val="29"/>
          <w:rFonts w:ascii="Times New Roman" w:hAnsi="Times New Roman" w:eastAsia="黑体" w:cs="Times New Roman"/>
          <w:b w:val="0"/>
        </w:rPr>
        <w:t>出决算情况说明</w:t>
      </w:r>
      <w:bookmarkEnd w:id="28"/>
      <w:bookmarkEnd w:id="29"/>
    </w:p>
    <w:p>
      <w:pPr>
        <w:pStyle w:val="27"/>
        <w:spacing w:line="560" w:lineRule="exact"/>
        <w:ind w:firstLine="640"/>
        <w:outlineLvl w:val="1"/>
        <w:rPr>
          <w:rFonts w:eastAsia="仿宋_GB2312"/>
          <w:sz w:val="32"/>
          <w:szCs w:val="32"/>
        </w:rPr>
      </w:pPr>
      <w:r>
        <w:rPr>
          <w:rFonts w:eastAsia="仿宋_GB2312"/>
          <w:sz w:val="32"/>
          <w:szCs w:val="32"/>
        </w:rPr>
        <w:drawing>
          <wp:anchor distT="0" distB="0" distL="114300" distR="114300" simplePos="0" relativeHeight="251661312" behindDoc="0" locked="0" layoutInCell="1" allowOverlap="1">
            <wp:simplePos x="0" y="0"/>
            <wp:positionH relativeFrom="column">
              <wp:posOffset>647700</wp:posOffset>
            </wp:positionH>
            <wp:positionV relativeFrom="paragraph">
              <wp:posOffset>971550</wp:posOffset>
            </wp:positionV>
            <wp:extent cx="4467225" cy="2686050"/>
            <wp:effectExtent l="19050" t="0" r="9525" b="0"/>
            <wp:wrapTopAndBottom/>
            <wp:docPr id="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eastAsia="仿宋_GB2312"/>
          <w:sz w:val="32"/>
          <w:szCs w:val="32"/>
        </w:rPr>
        <w:t>2025年度本年支出合计6661.09万元，其中基本支出5827.37万元，占87.48%；项目支出833.72万元，占12.52%。</w:t>
      </w:r>
    </w:p>
    <w:p>
      <w:pPr>
        <w:spacing w:line="560" w:lineRule="exact"/>
        <w:jc w:val="center"/>
        <w:outlineLvl w:val="1"/>
        <w:rPr>
          <w:rFonts w:eastAsia="仿宋_GB2312"/>
          <w:sz w:val="32"/>
          <w:szCs w:val="32"/>
        </w:rPr>
      </w:pPr>
      <w:r>
        <w:rPr>
          <w:rFonts w:eastAsia="仿宋_GB2312"/>
          <w:sz w:val="32"/>
          <w:szCs w:val="32"/>
        </w:rPr>
        <w:t xml:space="preserve">   （图3：支出决算结构图）（饼状图）</w:t>
      </w:r>
    </w:p>
    <w:p>
      <w:pPr>
        <w:pStyle w:val="2"/>
      </w:pPr>
    </w:p>
    <w:p>
      <w:pPr>
        <w:spacing w:line="560" w:lineRule="exact"/>
        <w:ind w:firstLine="640" w:firstLineChars="200"/>
        <w:outlineLvl w:val="1"/>
        <w:rPr>
          <w:rFonts w:eastAsia="黑体"/>
          <w:sz w:val="32"/>
          <w:szCs w:val="32"/>
        </w:rPr>
      </w:pPr>
      <w:bookmarkStart w:id="30" w:name="_Toc15396606"/>
      <w:bookmarkStart w:id="31" w:name="_Toc15377208"/>
    </w:p>
    <w:p>
      <w:pPr>
        <w:spacing w:line="560" w:lineRule="exact"/>
        <w:ind w:firstLine="640" w:firstLineChars="200"/>
        <w:outlineLvl w:val="1"/>
        <w:rPr>
          <w:rFonts w:eastAsia="黑体"/>
          <w:sz w:val="32"/>
          <w:szCs w:val="32"/>
        </w:rPr>
      </w:pPr>
    </w:p>
    <w:p>
      <w:pPr>
        <w:spacing w:line="600" w:lineRule="exact"/>
        <w:ind w:firstLine="640" w:firstLineChars="200"/>
        <w:outlineLvl w:val="1"/>
        <w:rPr>
          <w:rStyle w:val="29"/>
          <w:rFonts w:ascii="Times New Roman" w:hAnsi="Times New Roman" w:eastAsia="黑体" w:cs="Times New Roman"/>
          <w:b w:val="0"/>
        </w:rPr>
      </w:pPr>
      <w:r>
        <w:rPr>
          <w:rFonts w:eastAsia="黑体"/>
          <w:sz w:val="32"/>
          <w:szCs w:val="32"/>
        </w:rPr>
        <w:t>四、财</w:t>
      </w:r>
      <w:r>
        <w:rPr>
          <w:rStyle w:val="29"/>
          <w:rFonts w:ascii="Times New Roman" w:hAnsi="Times New Roman" w:eastAsia="黑体" w:cs="Times New Roman"/>
          <w:b w:val="0"/>
        </w:rPr>
        <w:t>政拨款收入支出决算总体情况说明</w:t>
      </w:r>
      <w:bookmarkEnd w:id="30"/>
      <w:bookmarkEnd w:id="31"/>
    </w:p>
    <w:p>
      <w:pPr>
        <w:snapToGrid w:val="0"/>
        <w:spacing w:line="600" w:lineRule="exact"/>
        <w:ind w:firstLine="640" w:firstLineChars="200"/>
        <w:rPr>
          <w:rFonts w:eastAsia="仿宋_GB2312"/>
          <w:sz w:val="32"/>
          <w:szCs w:val="32"/>
        </w:rPr>
      </w:pPr>
      <w:r>
        <w:rPr>
          <w:rFonts w:eastAsia="仿宋_GB2312"/>
          <w:sz w:val="32"/>
          <w:szCs w:val="32"/>
        </w:rPr>
        <w:t>2025年度财政拨款收入、支出总计均为6661.09万元。与上年度相比，财政拨款收入、支出总计各减少255.01万元，下降3.69%。主要变动原因是：2025年度压减了公用经费，减少了项目经费。</w:t>
      </w:r>
    </w:p>
    <w:p>
      <w:pPr>
        <w:pStyle w:val="2"/>
      </w:pPr>
    </w:p>
    <w:p>
      <w:pPr>
        <w:spacing w:line="560" w:lineRule="exact"/>
        <w:ind w:firstLine="480" w:firstLineChars="150"/>
        <w:rPr>
          <w:rFonts w:eastAsia="仿宋_GB2312"/>
          <w:sz w:val="32"/>
          <w:szCs w:val="32"/>
        </w:rPr>
      </w:pPr>
      <w:r>
        <w:rPr>
          <w:rFonts w:eastAsia="仿宋_GB2312"/>
          <w:sz w:val="32"/>
          <w:szCs w:val="32"/>
        </w:rPr>
        <w:drawing>
          <wp:anchor distT="0" distB="0" distL="114300" distR="114300" simplePos="0" relativeHeight="251662336" behindDoc="0" locked="0" layoutInCell="1" allowOverlap="1">
            <wp:simplePos x="0" y="0"/>
            <wp:positionH relativeFrom="column">
              <wp:posOffset>523875</wp:posOffset>
            </wp:positionH>
            <wp:positionV relativeFrom="paragraph">
              <wp:posOffset>66675</wp:posOffset>
            </wp:positionV>
            <wp:extent cx="4457700" cy="2714625"/>
            <wp:effectExtent l="19050" t="0" r="19050" b="0"/>
            <wp:wrapTopAndBottom/>
            <wp:docPr id="1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rFonts w:eastAsia="仿宋_GB2312"/>
          <w:sz w:val="32"/>
          <w:szCs w:val="32"/>
        </w:rPr>
        <w:t>（图4：财政拨款收、支决算总计变动情况）（柱状图）</w:t>
      </w:r>
    </w:p>
    <w:p>
      <w:pPr>
        <w:pStyle w:val="2"/>
      </w:pPr>
    </w:p>
    <w:p>
      <w:pPr>
        <w:pStyle w:val="3"/>
        <w:spacing w:line="560" w:lineRule="exact"/>
        <w:ind w:left="420"/>
      </w:pPr>
    </w:p>
    <w:p>
      <w:pPr>
        <w:spacing w:line="560" w:lineRule="exact"/>
        <w:ind w:firstLine="640" w:firstLineChars="200"/>
        <w:outlineLvl w:val="1"/>
        <w:rPr>
          <w:rStyle w:val="29"/>
          <w:rFonts w:ascii="Times New Roman" w:hAnsi="Times New Roman" w:eastAsia="黑体" w:cs="Times New Roman"/>
          <w:b w:val="0"/>
        </w:rPr>
      </w:pPr>
      <w:bookmarkStart w:id="32" w:name="_Toc15377209"/>
      <w:bookmarkStart w:id="33" w:name="_Toc15396607"/>
      <w:r>
        <w:rPr>
          <w:rFonts w:eastAsia="黑体"/>
          <w:sz w:val="32"/>
          <w:szCs w:val="32"/>
        </w:rPr>
        <w:t>五、</w:t>
      </w:r>
      <w:r>
        <w:rPr>
          <w:rFonts w:eastAsia="黑体"/>
          <w:b/>
          <w:sz w:val="32"/>
          <w:szCs w:val="32"/>
        </w:rPr>
        <w:t>一</w:t>
      </w:r>
      <w:r>
        <w:rPr>
          <w:rStyle w:val="29"/>
          <w:rFonts w:ascii="Times New Roman" w:hAnsi="Times New Roman" w:eastAsia="黑体" w:cs="Times New Roman"/>
          <w:b w:val="0"/>
        </w:rPr>
        <w:t>般公共预算财政拨款支出决算情况说明</w:t>
      </w:r>
      <w:bookmarkEnd w:id="32"/>
      <w:bookmarkEnd w:id="33"/>
    </w:p>
    <w:p>
      <w:pPr>
        <w:spacing w:line="560" w:lineRule="exact"/>
        <w:ind w:firstLine="642" w:firstLineChars="200"/>
        <w:outlineLvl w:val="2"/>
        <w:rPr>
          <w:rFonts w:eastAsia="楷体_GB2312"/>
          <w:b/>
          <w:sz w:val="32"/>
          <w:szCs w:val="32"/>
        </w:rPr>
      </w:pPr>
      <w:bookmarkStart w:id="34" w:name="_Toc15377210"/>
      <w:r>
        <w:rPr>
          <w:rFonts w:eastAsia="楷体_GB2312"/>
          <w:b/>
          <w:sz w:val="32"/>
          <w:szCs w:val="32"/>
        </w:rPr>
        <w:t>（一）一般公共预算财政拨款支出决算总体情况</w:t>
      </w:r>
      <w:bookmarkEnd w:id="34"/>
    </w:p>
    <w:p>
      <w:pPr>
        <w:snapToGrid w:val="0"/>
        <w:spacing w:line="560" w:lineRule="exact"/>
        <w:ind w:firstLine="640" w:firstLineChars="200"/>
        <w:rPr>
          <w:rFonts w:eastAsia="仿宋_GB2312"/>
          <w:sz w:val="32"/>
          <w:szCs w:val="32"/>
        </w:rPr>
      </w:pPr>
      <w:r>
        <w:rPr>
          <w:rFonts w:eastAsia="仿宋_GB2312"/>
          <w:sz w:val="32"/>
          <w:szCs w:val="32"/>
        </w:rPr>
        <w:t>2025年度一般公共预算财政拨款支出6374.96万元，占本年支出合计的95.7%。与上年度相比，一般公共预算财政拨款支出减少235.23万元，下降3.56%。主要变动原因是2025年度压减了公用经费，减少了项目经费。</w:t>
      </w:r>
    </w:p>
    <w:p>
      <w:pPr>
        <w:pStyle w:val="2"/>
        <w:rPr>
          <w:rFonts w:eastAsia="仿宋_GB2312"/>
          <w:sz w:val="32"/>
          <w:szCs w:val="32"/>
        </w:rPr>
      </w:pPr>
      <w:r>
        <w:rPr>
          <w:rFonts w:eastAsia="仿宋_GB2312"/>
          <w:sz w:val="32"/>
          <w:szCs w:val="32"/>
        </w:rPr>
        <w:drawing>
          <wp:anchor distT="0" distB="0" distL="114300" distR="114300" simplePos="0" relativeHeight="251663360" behindDoc="0" locked="0" layoutInCell="1" allowOverlap="1">
            <wp:simplePos x="0" y="0"/>
            <wp:positionH relativeFrom="column">
              <wp:posOffset>476250</wp:posOffset>
            </wp:positionH>
            <wp:positionV relativeFrom="page">
              <wp:posOffset>676275</wp:posOffset>
            </wp:positionV>
            <wp:extent cx="4438650" cy="2657475"/>
            <wp:effectExtent l="4445" t="4445" r="14605" b="508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pPr>
        <w:pStyle w:val="3"/>
        <w:ind w:left="420" w:firstLine="640"/>
        <w:rPr>
          <w:rFonts w:ascii="Times New Roman" w:eastAsia="仿宋_GB2312"/>
          <w:sz w:val="32"/>
        </w:rPr>
      </w:pPr>
    </w:p>
    <w:p>
      <w:pPr>
        <w:rPr>
          <w:rFonts w:eastAsia="仿宋_GB2312"/>
          <w:sz w:val="32"/>
          <w:szCs w:val="32"/>
        </w:rPr>
      </w:pPr>
    </w:p>
    <w:p>
      <w:pPr>
        <w:pStyle w:val="2"/>
        <w:rPr>
          <w:rFonts w:eastAsia="仿宋_GB2312"/>
          <w:sz w:val="32"/>
          <w:szCs w:val="32"/>
        </w:rPr>
      </w:pPr>
    </w:p>
    <w:p>
      <w:pPr>
        <w:pStyle w:val="3"/>
        <w:ind w:left="420" w:firstLine="640"/>
        <w:rPr>
          <w:rFonts w:ascii="Times New Roman" w:eastAsia="仿宋_GB2312"/>
          <w:sz w:val="32"/>
        </w:rPr>
      </w:pPr>
    </w:p>
    <w:p>
      <w:pPr>
        <w:rPr>
          <w:rFonts w:eastAsia="仿宋_GB2312"/>
          <w:sz w:val="32"/>
          <w:szCs w:val="32"/>
        </w:rPr>
      </w:pPr>
    </w:p>
    <w:p>
      <w:pPr>
        <w:pStyle w:val="2"/>
      </w:pPr>
    </w:p>
    <w:p>
      <w:pPr>
        <w:spacing w:line="560" w:lineRule="exact"/>
        <w:rPr>
          <w:rFonts w:eastAsia="仿宋_GB2312"/>
          <w:sz w:val="32"/>
          <w:szCs w:val="32"/>
        </w:rPr>
      </w:pPr>
      <w:r>
        <w:rPr>
          <w:rFonts w:eastAsia="仿宋_GB2312"/>
          <w:sz w:val="32"/>
          <w:szCs w:val="32"/>
        </w:rPr>
        <w:t>（图5：一般公共预算财政拨款支出决算变动情况）（柱状图）</w:t>
      </w:r>
    </w:p>
    <w:p>
      <w:pPr>
        <w:pStyle w:val="2"/>
      </w:pPr>
    </w:p>
    <w:p>
      <w:pPr>
        <w:spacing w:line="560" w:lineRule="exact"/>
        <w:ind w:firstLine="642" w:firstLineChars="200"/>
        <w:outlineLvl w:val="2"/>
        <w:rPr>
          <w:rFonts w:eastAsia="楷体_GB2312"/>
          <w:b/>
          <w:sz w:val="32"/>
          <w:szCs w:val="32"/>
        </w:rPr>
      </w:pPr>
      <w:bookmarkStart w:id="35" w:name="_Toc15377211"/>
      <w:r>
        <w:rPr>
          <w:rFonts w:eastAsia="楷体_GB2312"/>
          <w:b/>
          <w:sz w:val="32"/>
          <w:szCs w:val="32"/>
        </w:rPr>
        <w:t>（二）一般公共预算财政拨款支出决算结构情况</w:t>
      </w:r>
      <w:bookmarkEnd w:id="35"/>
    </w:p>
    <w:p>
      <w:pPr>
        <w:snapToGrid w:val="0"/>
        <w:spacing w:line="560" w:lineRule="exact"/>
        <w:ind w:firstLine="640" w:firstLineChars="200"/>
        <w:rPr>
          <w:rFonts w:eastAsia="仿宋_GB2312"/>
          <w:sz w:val="32"/>
          <w:szCs w:val="32"/>
        </w:rPr>
      </w:pPr>
      <w:r>
        <w:rPr>
          <w:rFonts w:eastAsia="仿宋_GB2312"/>
          <w:sz w:val="32"/>
          <w:szCs w:val="32"/>
        </w:rPr>
        <w:drawing>
          <wp:anchor distT="0" distB="0" distL="114300" distR="114300" simplePos="0" relativeHeight="251664384" behindDoc="0" locked="0" layoutInCell="1" allowOverlap="1">
            <wp:simplePos x="0" y="0"/>
            <wp:positionH relativeFrom="column">
              <wp:posOffset>476250</wp:posOffset>
            </wp:positionH>
            <wp:positionV relativeFrom="paragraph">
              <wp:posOffset>1952625</wp:posOffset>
            </wp:positionV>
            <wp:extent cx="4486275" cy="2705100"/>
            <wp:effectExtent l="19050" t="0" r="9525" b="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Pr>
          <w:rFonts w:eastAsia="仿宋_GB2312"/>
          <w:sz w:val="32"/>
          <w:szCs w:val="32"/>
        </w:rPr>
        <w:t>2025年度一般公共预算财政拨款支出6374.96万元，主要用于以下方面：社会保障和就业支出2085.45万元，占32.71%；卫生健康支出50.14万元，占0.79%；城乡社区支出3948.79万元，占61.94%；住房保障支出290.59万元，占4.56%。</w:t>
      </w:r>
    </w:p>
    <w:p>
      <w:pPr>
        <w:spacing w:line="560" w:lineRule="exact"/>
        <w:ind w:firstLine="160" w:firstLineChars="50"/>
        <w:rPr>
          <w:rFonts w:eastAsia="仿宋_GB2312"/>
          <w:sz w:val="32"/>
          <w:szCs w:val="32"/>
        </w:rPr>
      </w:pPr>
      <w:r>
        <w:rPr>
          <w:rFonts w:eastAsia="仿宋_GB2312"/>
          <w:sz w:val="32"/>
          <w:szCs w:val="32"/>
        </w:rPr>
        <w:t>（图6：一般公共预算财政拨款支出决算结构）（饼状图）</w:t>
      </w:r>
    </w:p>
    <w:p>
      <w:pPr>
        <w:spacing w:line="560" w:lineRule="exact"/>
        <w:ind w:firstLine="642" w:firstLineChars="200"/>
        <w:outlineLvl w:val="2"/>
        <w:rPr>
          <w:rFonts w:eastAsia="楷体_GB2312"/>
          <w:b/>
          <w:sz w:val="32"/>
          <w:szCs w:val="32"/>
        </w:rPr>
      </w:pPr>
      <w:bookmarkStart w:id="36" w:name="_Toc15377212"/>
    </w:p>
    <w:p>
      <w:pPr>
        <w:spacing w:line="560" w:lineRule="exact"/>
        <w:ind w:firstLine="642" w:firstLineChars="200"/>
        <w:outlineLvl w:val="2"/>
        <w:rPr>
          <w:rFonts w:eastAsia="楷体_GB2312"/>
          <w:b/>
          <w:sz w:val="32"/>
          <w:szCs w:val="32"/>
        </w:rPr>
      </w:pPr>
      <w:r>
        <w:rPr>
          <w:rFonts w:eastAsia="楷体_GB2312"/>
          <w:b/>
          <w:sz w:val="32"/>
          <w:szCs w:val="32"/>
        </w:rPr>
        <w:t>（三）一般公共预算财政拨款支出决算具体情况</w:t>
      </w:r>
      <w:bookmarkEnd w:id="36"/>
    </w:p>
    <w:p>
      <w:pPr>
        <w:spacing w:line="560" w:lineRule="exact"/>
        <w:ind w:firstLine="640"/>
        <w:rPr>
          <w:rFonts w:eastAsia="仿宋_GB2312"/>
          <w:sz w:val="32"/>
          <w:szCs w:val="32"/>
        </w:rPr>
      </w:pPr>
      <w:bookmarkStart w:id="37" w:name="_Toc15378460"/>
      <w:bookmarkStart w:id="38" w:name="_Toc15377213"/>
      <w:bookmarkStart w:id="39" w:name="_Toc15377444"/>
      <w:r>
        <w:rPr>
          <w:rFonts w:eastAsia="仿宋_GB2312"/>
          <w:sz w:val="32"/>
          <w:szCs w:val="32"/>
        </w:rPr>
        <w:t>2025年度一般公共预算支出决算数为6374.96，完成预算100%。其中：</w:t>
      </w:r>
      <w:bookmarkEnd w:id="37"/>
      <w:bookmarkEnd w:id="38"/>
      <w:bookmarkEnd w:id="39"/>
    </w:p>
    <w:p>
      <w:pPr>
        <w:spacing w:line="560" w:lineRule="exact"/>
        <w:ind w:firstLine="640"/>
        <w:rPr>
          <w:rFonts w:eastAsia="仿宋_GB2312"/>
          <w:sz w:val="32"/>
          <w:szCs w:val="32"/>
        </w:rPr>
      </w:pPr>
      <w:r>
        <w:rPr>
          <w:rFonts w:eastAsia="仿宋_GB2312"/>
          <w:sz w:val="32"/>
          <w:szCs w:val="32"/>
        </w:rPr>
        <w:t>1. 社会保障和就业支出（类）行政事业单位养老支出（款）事业单位离退休（项）：支出决算为1529.92万元，完成预算100%。</w:t>
      </w:r>
    </w:p>
    <w:p>
      <w:pPr>
        <w:spacing w:line="560" w:lineRule="exact"/>
        <w:ind w:firstLine="640"/>
        <w:rPr>
          <w:rFonts w:eastAsia="仿宋_GB2312"/>
          <w:sz w:val="32"/>
          <w:szCs w:val="32"/>
        </w:rPr>
      </w:pPr>
      <w:r>
        <w:rPr>
          <w:rFonts w:eastAsia="仿宋_GB2312"/>
          <w:sz w:val="32"/>
          <w:szCs w:val="32"/>
        </w:rPr>
        <w:t>2. 社会保障和就业支出（类）行政事业单位养老支出（款）机关事业单位基本养老保险缴费支出（项）：支出决算为396.66万元，完成预算100%。</w:t>
      </w:r>
    </w:p>
    <w:p>
      <w:pPr>
        <w:spacing w:line="560" w:lineRule="exact"/>
        <w:ind w:firstLine="640"/>
        <w:rPr>
          <w:rFonts w:eastAsia="仿宋_GB2312"/>
          <w:sz w:val="32"/>
          <w:szCs w:val="32"/>
        </w:rPr>
      </w:pPr>
      <w:r>
        <w:rPr>
          <w:rFonts w:eastAsia="仿宋_GB2312"/>
          <w:sz w:val="32"/>
          <w:szCs w:val="32"/>
        </w:rPr>
        <w:t>3. 社会保障和就业支出（类）行政事业单位养老支出（款）机关事业单位职业年金缴费支出（项）：支出决算为119.17万元，完成预算100%。</w:t>
      </w:r>
    </w:p>
    <w:p>
      <w:pPr>
        <w:spacing w:line="560" w:lineRule="exact"/>
        <w:ind w:firstLine="640"/>
        <w:rPr>
          <w:rFonts w:eastAsia="仿宋_GB2312"/>
          <w:sz w:val="32"/>
          <w:szCs w:val="32"/>
        </w:rPr>
      </w:pPr>
      <w:r>
        <w:rPr>
          <w:rFonts w:eastAsia="仿宋_GB2312"/>
          <w:sz w:val="32"/>
          <w:szCs w:val="32"/>
        </w:rPr>
        <w:t>4. 社会保障和就业支出（类）抚恤（款）死亡抚恤（项）：支出决算为39.7万元，完成预算100%。</w:t>
      </w:r>
    </w:p>
    <w:p>
      <w:pPr>
        <w:spacing w:line="560" w:lineRule="exact"/>
        <w:ind w:firstLine="640" w:firstLineChars="200"/>
        <w:rPr>
          <w:rFonts w:eastAsia="仿宋_GB2312"/>
          <w:sz w:val="32"/>
          <w:szCs w:val="32"/>
        </w:rPr>
      </w:pPr>
      <w:r>
        <w:rPr>
          <w:rFonts w:eastAsia="仿宋_GB2312"/>
          <w:sz w:val="32"/>
          <w:szCs w:val="32"/>
        </w:rPr>
        <w:t>5. 卫生健康支出（类）行政事业单位医疗（款）事业单位医疗（项）：支出决算为25.79万元，完成预算100%。</w:t>
      </w:r>
    </w:p>
    <w:p>
      <w:pPr>
        <w:spacing w:line="560" w:lineRule="exact"/>
        <w:ind w:firstLine="640" w:firstLineChars="200"/>
        <w:rPr>
          <w:rFonts w:eastAsia="仿宋_GB2312"/>
          <w:sz w:val="32"/>
          <w:szCs w:val="32"/>
        </w:rPr>
      </w:pPr>
      <w:r>
        <w:rPr>
          <w:rFonts w:eastAsia="仿宋_GB2312"/>
          <w:sz w:val="32"/>
          <w:szCs w:val="32"/>
        </w:rPr>
        <w:t>6. 卫生健康支出（类）行政事业单位医疗（款）其他行政事业单位医疗支出（项）：支出决算为24.34万元，完成预算100%。</w:t>
      </w:r>
    </w:p>
    <w:p>
      <w:pPr>
        <w:spacing w:line="560" w:lineRule="exact"/>
        <w:ind w:firstLine="640" w:firstLineChars="200"/>
        <w:rPr>
          <w:rFonts w:eastAsia="仿宋_GB2312"/>
          <w:sz w:val="32"/>
          <w:szCs w:val="32"/>
        </w:rPr>
      </w:pPr>
      <w:r>
        <w:rPr>
          <w:rFonts w:eastAsia="仿宋_GB2312"/>
          <w:sz w:val="32"/>
          <w:szCs w:val="32"/>
        </w:rPr>
        <w:t>7. 城乡社区支出（类）城乡社区管理事务（款）其他城乡社区管理事务支出（项）：支出决算为210.35万元，完成预算100%。</w:t>
      </w:r>
    </w:p>
    <w:p>
      <w:pPr>
        <w:spacing w:line="560" w:lineRule="exact"/>
        <w:ind w:firstLine="640"/>
        <w:rPr>
          <w:rFonts w:eastAsia="仿宋_GB2312"/>
          <w:sz w:val="32"/>
          <w:szCs w:val="32"/>
        </w:rPr>
      </w:pPr>
      <w:r>
        <w:rPr>
          <w:rFonts w:eastAsia="仿宋_GB2312"/>
          <w:sz w:val="32"/>
          <w:szCs w:val="32"/>
        </w:rPr>
        <w:t>8. 城乡社区支出（类）城乡社区环境卫生（款）城乡社区环境卫生（项）：支出决算为3738.44万元，完成预算100%。</w:t>
      </w:r>
    </w:p>
    <w:p>
      <w:pPr>
        <w:spacing w:line="560" w:lineRule="exact"/>
        <w:ind w:firstLine="640"/>
        <w:rPr>
          <w:rFonts w:eastAsia="仿宋_GB2312"/>
          <w:sz w:val="32"/>
          <w:szCs w:val="32"/>
        </w:rPr>
      </w:pPr>
      <w:r>
        <w:rPr>
          <w:rFonts w:eastAsia="仿宋_GB2312"/>
          <w:sz w:val="32"/>
          <w:szCs w:val="32"/>
        </w:rPr>
        <w:t>9. 住房保障支出（类）住房改革支出（款）住房公积金（项）：支出决算为290.59万元，完成预算100%。</w:t>
      </w:r>
    </w:p>
    <w:p>
      <w:pPr>
        <w:tabs>
          <w:tab w:val="right" w:pos="8306"/>
        </w:tabs>
        <w:spacing w:line="560" w:lineRule="exact"/>
        <w:ind w:firstLine="640"/>
        <w:outlineLvl w:val="1"/>
        <w:rPr>
          <w:rStyle w:val="29"/>
          <w:rFonts w:ascii="Times New Roman" w:hAnsi="Times New Roman" w:cs="Times New Roman"/>
        </w:rPr>
      </w:pPr>
      <w:bookmarkStart w:id="40" w:name="_Toc15396608"/>
      <w:bookmarkStart w:id="41" w:name="_Toc15377214"/>
      <w:r>
        <w:rPr>
          <w:rFonts w:eastAsia="黑体"/>
          <w:sz w:val="32"/>
          <w:szCs w:val="32"/>
        </w:rPr>
        <w:t>六</w:t>
      </w:r>
      <w:r>
        <w:rPr>
          <w:rFonts w:eastAsia="黑体"/>
          <w:b/>
          <w:sz w:val="32"/>
          <w:szCs w:val="32"/>
        </w:rPr>
        <w:t>、一</w:t>
      </w:r>
      <w:r>
        <w:rPr>
          <w:rStyle w:val="29"/>
          <w:rFonts w:ascii="Times New Roman" w:hAnsi="Times New Roman" w:eastAsia="黑体" w:cs="Times New Roman"/>
          <w:b w:val="0"/>
        </w:rPr>
        <w:t>般公共预算财政拨款基本支出决算情况说明</w:t>
      </w:r>
      <w:bookmarkEnd w:id="40"/>
      <w:bookmarkEnd w:id="41"/>
      <w:r>
        <w:rPr>
          <w:rStyle w:val="29"/>
          <w:rFonts w:ascii="Times New Roman" w:hAnsi="Times New Roman" w:eastAsia="黑体" w:cs="Times New Roman"/>
          <w:b w:val="0"/>
        </w:rPr>
        <w:tab/>
      </w:r>
    </w:p>
    <w:p>
      <w:pPr>
        <w:spacing w:line="560" w:lineRule="exact"/>
        <w:ind w:firstLine="640"/>
        <w:rPr>
          <w:rFonts w:eastAsia="仿宋_GB2312"/>
          <w:sz w:val="32"/>
          <w:szCs w:val="32"/>
        </w:rPr>
      </w:pPr>
      <w:r>
        <w:rPr>
          <w:rFonts w:eastAsia="仿宋_GB2312"/>
          <w:sz w:val="32"/>
          <w:szCs w:val="32"/>
        </w:rPr>
        <w:t>2025年度一般公共预算财政拨款基本支出5827.37万元，其中：</w:t>
      </w:r>
    </w:p>
    <w:p>
      <w:pPr>
        <w:spacing w:line="560" w:lineRule="exact"/>
        <w:ind w:firstLine="640"/>
        <w:rPr>
          <w:rFonts w:eastAsia="仿宋_GB2312"/>
          <w:sz w:val="32"/>
          <w:szCs w:val="32"/>
        </w:rPr>
      </w:pPr>
      <w:r>
        <w:rPr>
          <w:rFonts w:eastAsia="仿宋_GB2312"/>
          <w:sz w:val="32"/>
          <w:szCs w:val="32"/>
        </w:rPr>
        <w:t>人员经费5599.22万元，主要包括：基本工资1147.13万元、津贴补贴117.47万元、绩效工资1376.39万元、机关事业单位基本养老保险缴费396.66万元、职业年金缴费119.17万元、职工基本医疗保险缴费192.1万元、公务员医疗补助缴费48.08万元、其他社会保障缴费19.9万元、住房公积金290.59万元、其他工资福利支出61.06万元、离休费35.9万元、抚恤金39.7万元、生活补助1634.83万元、医疗费补助119.97万元、奖励金0.27万元。</w:t>
      </w:r>
      <w:r>
        <w:rPr>
          <w:rFonts w:eastAsia="仿宋_GB2312"/>
          <w:sz w:val="32"/>
          <w:szCs w:val="32"/>
        </w:rPr>
        <w:br w:type="textWrapping"/>
      </w:r>
      <w:r>
        <w:rPr>
          <w:rFonts w:eastAsia="仿宋_GB2312"/>
          <w:sz w:val="32"/>
          <w:szCs w:val="32"/>
        </w:rPr>
        <w:t>　　公用经费228.15万元，主要包括：办公费21.48万元、水费40.2万元、电费5.78万元、邮电费1.76万元、物业管理费21.81万元、差旅费8.1万元、培训费1.74万元、公务接待费0.13万元、劳务费0.37万元、工会经费29.3万元、福利费53.13万元、公务用车运行维护费36.24万元、其他交通费用1.44万元、其他商品和服务支出1.94万元、办公设备购置4.72万元。</w:t>
      </w:r>
    </w:p>
    <w:p>
      <w:pPr>
        <w:spacing w:line="560" w:lineRule="exact"/>
        <w:ind w:firstLine="640"/>
        <w:outlineLvl w:val="1"/>
        <w:rPr>
          <w:rStyle w:val="29"/>
          <w:rFonts w:ascii="Times New Roman" w:hAnsi="Times New Roman" w:eastAsia="黑体" w:cs="Times New Roman"/>
          <w:b w:val="0"/>
        </w:rPr>
      </w:pPr>
      <w:bookmarkStart w:id="42" w:name="_Toc15396609"/>
      <w:bookmarkStart w:id="43" w:name="_Toc15377215"/>
      <w:r>
        <w:rPr>
          <w:rFonts w:eastAsia="黑体"/>
          <w:sz w:val="32"/>
          <w:szCs w:val="32"/>
        </w:rPr>
        <w:t>七、</w:t>
      </w:r>
      <w:r>
        <w:rPr>
          <w:rStyle w:val="29"/>
          <w:rFonts w:ascii="Times New Roman" w:hAnsi="Times New Roman" w:eastAsia="黑体" w:cs="Times New Roman"/>
          <w:b w:val="0"/>
        </w:rPr>
        <w:t>财政拨款</w:t>
      </w:r>
      <w:r>
        <w:rPr>
          <w:rStyle w:val="29"/>
          <w:rFonts w:ascii="Times New Roman" w:hAnsi="Times New Roman" w:eastAsia="黑体" w:cs="Times New Roman"/>
        </w:rPr>
        <w:t>“</w:t>
      </w:r>
      <w:r>
        <w:rPr>
          <w:rStyle w:val="29"/>
          <w:rFonts w:ascii="Times New Roman" w:hAnsi="Times New Roman" w:eastAsia="黑体" w:cs="Times New Roman"/>
          <w:b w:val="0"/>
        </w:rPr>
        <w:t>三公”经费支出决算情况说明</w:t>
      </w:r>
      <w:bookmarkEnd w:id="42"/>
      <w:bookmarkEnd w:id="43"/>
    </w:p>
    <w:p>
      <w:pPr>
        <w:spacing w:line="560" w:lineRule="exact"/>
        <w:ind w:firstLine="642" w:firstLineChars="200"/>
        <w:outlineLvl w:val="2"/>
        <w:rPr>
          <w:rFonts w:eastAsia="楷体_GB2312"/>
          <w:b/>
          <w:sz w:val="32"/>
          <w:szCs w:val="32"/>
        </w:rPr>
      </w:pPr>
      <w:bookmarkStart w:id="44" w:name="_Toc15377216"/>
      <w:r>
        <w:rPr>
          <w:rFonts w:eastAsia="楷体_GB2312"/>
          <w:b/>
          <w:sz w:val="32"/>
          <w:szCs w:val="32"/>
        </w:rPr>
        <w:t>（一）财政拨款“三公”经费支出决算总体情况说明</w:t>
      </w:r>
      <w:bookmarkEnd w:id="44"/>
    </w:p>
    <w:p>
      <w:pPr>
        <w:spacing w:line="560" w:lineRule="exact"/>
        <w:ind w:firstLine="640"/>
        <w:rPr>
          <w:rFonts w:eastAsia="仿宋_GB2312"/>
          <w:sz w:val="32"/>
          <w:szCs w:val="32"/>
        </w:rPr>
      </w:pPr>
      <w:r>
        <w:rPr>
          <w:rFonts w:eastAsia="仿宋_GB2312"/>
          <w:sz w:val="32"/>
          <w:szCs w:val="32"/>
        </w:rPr>
        <w:t>2025年度财政拨款“三公”经费支出决算为36.38万元，完成预算100%，较上年度减少4.27万元，10.5%</w:t>
      </w:r>
      <w:r>
        <w:rPr>
          <w:rFonts w:hint="eastAsia" w:eastAsia="仿宋_GB2312"/>
          <w:sz w:val="32"/>
          <w:szCs w:val="32"/>
        </w:rPr>
        <w:t>，</w:t>
      </w:r>
      <w:r>
        <w:rPr>
          <w:rFonts w:eastAsia="仿宋_GB2312"/>
          <w:sz w:val="32"/>
          <w:szCs w:val="32"/>
        </w:rPr>
        <w:t>决算数与预算数持平。</w:t>
      </w:r>
    </w:p>
    <w:p>
      <w:pPr>
        <w:spacing w:line="560" w:lineRule="exact"/>
        <w:ind w:firstLine="642" w:firstLineChars="200"/>
        <w:outlineLvl w:val="2"/>
        <w:rPr>
          <w:rFonts w:eastAsia="楷体_GB2312"/>
          <w:b/>
          <w:sz w:val="32"/>
          <w:szCs w:val="32"/>
        </w:rPr>
      </w:pPr>
      <w:bookmarkStart w:id="45" w:name="_Toc15377217"/>
      <w:r>
        <w:rPr>
          <w:rFonts w:eastAsia="楷体_GB2312"/>
          <w:b/>
          <w:sz w:val="32"/>
          <w:szCs w:val="32"/>
        </w:rPr>
        <w:t>（二）财政拨款“三公”经费支出决算具体情况说明</w:t>
      </w:r>
      <w:bookmarkEnd w:id="45"/>
    </w:p>
    <w:p>
      <w:pPr>
        <w:spacing w:line="560" w:lineRule="exact"/>
        <w:ind w:firstLine="640"/>
        <w:rPr>
          <w:rFonts w:eastAsia="仿宋_GB2312"/>
          <w:sz w:val="32"/>
          <w:szCs w:val="32"/>
        </w:rPr>
      </w:pPr>
      <w:r>
        <w:rPr>
          <w:rFonts w:eastAsia="仿宋_GB2312"/>
          <w:sz w:val="32"/>
          <w:szCs w:val="32"/>
        </w:rPr>
        <w:t>2025年度财政拨款“三公”经费支出决算中，因公出国（境）费支出决算0万元，占0%；公务用车购置及运行维护费支出决算36.24万元，占99.63%；公务接待费支出决算0.13万元，占0.37%。具体情况如下：</w:t>
      </w:r>
    </w:p>
    <w:p>
      <w:pPr>
        <w:pStyle w:val="2"/>
        <w:spacing w:line="560" w:lineRule="exact"/>
      </w:pPr>
      <w:r>
        <w:drawing>
          <wp:anchor distT="0" distB="0" distL="114300" distR="114300" simplePos="0" relativeHeight="251665408" behindDoc="0" locked="0" layoutInCell="1" allowOverlap="1">
            <wp:simplePos x="0" y="0"/>
            <wp:positionH relativeFrom="column">
              <wp:posOffset>400050</wp:posOffset>
            </wp:positionH>
            <wp:positionV relativeFrom="paragraph">
              <wp:posOffset>114300</wp:posOffset>
            </wp:positionV>
            <wp:extent cx="4486275" cy="2714625"/>
            <wp:effectExtent l="19050" t="0" r="9525" b="0"/>
            <wp:wrapTopAndBottom/>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pPr>
        <w:spacing w:line="560" w:lineRule="exact"/>
        <w:ind w:firstLine="640" w:firstLineChars="200"/>
        <w:rPr>
          <w:rFonts w:eastAsia="仿宋_GB2312"/>
          <w:sz w:val="32"/>
          <w:szCs w:val="32"/>
        </w:rPr>
      </w:pPr>
      <w:r>
        <w:rPr>
          <w:rFonts w:eastAsia="仿宋_GB2312"/>
          <w:sz w:val="32"/>
          <w:szCs w:val="32"/>
        </w:rPr>
        <w:t>（图7：财政拨款“三公”经费支出结构）（饼状图）</w:t>
      </w:r>
    </w:p>
    <w:p>
      <w:pPr>
        <w:pStyle w:val="2"/>
      </w:pPr>
    </w:p>
    <w:p>
      <w:pPr>
        <w:spacing w:line="560" w:lineRule="exact"/>
        <w:ind w:firstLine="640"/>
        <w:rPr>
          <w:rFonts w:eastAsia="仿宋_GB2312"/>
          <w:sz w:val="32"/>
          <w:szCs w:val="32"/>
        </w:rPr>
      </w:pPr>
      <w:r>
        <w:rPr>
          <w:rFonts w:eastAsia="仿宋_GB2312"/>
          <w:b/>
          <w:bCs/>
          <w:sz w:val="32"/>
          <w:szCs w:val="32"/>
        </w:rPr>
        <w:t>1.因公出国（境）经费支出0万元，完成预算0%。</w:t>
      </w:r>
      <w:r>
        <w:rPr>
          <w:rFonts w:eastAsia="仿宋_GB2312"/>
          <w:sz w:val="32"/>
          <w:szCs w:val="32"/>
        </w:rPr>
        <w:t>全年安排因公出国（境）团组0次，出国（境）0人。因公出国（境）支出决算与上年度持平。</w:t>
      </w:r>
    </w:p>
    <w:p>
      <w:pPr>
        <w:spacing w:line="560" w:lineRule="exact"/>
        <w:ind w:firstLine="640"/>
        <w:rPr>
          <w:rFonts w:eastAsia="仿宋_GB2312"/>
          <w:sz w:val="32"/>
          <w:szCs w:val="32"/>
        </w:rPr>
      </w:pPr>
      <w:r>
        <w:rPr>
          <w:rFonts w:eastAsia="仿宋_GB2312"/>
          <w:b/>
          <w:bCs/>
          <w:sz w:val="32"/>
          <w:szCs w:val="32"/>
        </w:rPr>
        <w:t>2.公务用车购置及运行维护费支出36.24万元，完成预算100%。</w:t>
      </w:r>
      <w:r>
        <w:rPr>
          <w:rFonts w:eastAsia="仿宋_GB2312"/>
          <w:sz w:val="32"/>
          <w:szCs w:val="32"/>
        </w:rPr>
        <w:t>公务用车购置及运行维护费支出决算比上年度减少4.32万元，下降10.65%。主要原因是2024年报废处置了2台车辆，导致2025年公务用车购置及运行维护费减少。</w:t>
      </w:r>
    </w:p>
    <w:p>
      <w:pPr>
        <w:spacing w:line="560" w:lineRule="exact"/>
        <w:ind w:firstLine="640"/>
        <w:rPr>
          <w:rFonts w:eastAsia="仿宋_GB2312"/>
          <w:sz w:val="32"/>
          <w:szCs w:val="32"/>
        </w:rPr>
      </w:pPr>
      <w:r>
        <w:rPr>
          <w:rFonts w:eastAsia="仿宋_GB2312"/>
          <w:sz w:val="32"/>
          <w:szCs w:val="32"/>
        </w:rPr>
        <w:t>其中公务用车购置支出0万元。全年按规定更新购置公务用车0辆，其中：轿车0辆、金额0万元，越野车0辆、金额0万元，载客汽车0辆、金额0万元。截至2025年12月31日，单位共有公务用车24辆，其中公务用车4辆（轿车1辆、越野车1辆、载客汽车2辆），生产用车（含特种专业技术用车）20辆。</w:t>
      </w:r>
    </w:p>
    <w:p>
      <w:pPr>
        <w:spacing w:line="560" w:lineRule="exact"/>
        <w:ind w:firstLine="640"/>
        <w:rPr>
          <w:rFonts w:eastAsia="仿宋_GB2312"/>
          <w:sz w:val="32"/>
          <w:szCs w:val="32"/>
        </w:rPr>
      </w:pPr>
      <w:r>
        <w:rPr>
          <w:rFonts w:eastAsia="仿宋_GB2312"/>
          <w:sz w:val="32"/>
          <w:szCs w:val="32"/>
        </w:rPr>
        <w:t>公务用车运行维护费支出36.24万元。主要用于公务出行、绿地及行道树管护（含浇水车、修枝车、打药车）等工作所需的公务用车燃料费、维修费、过路过桥费、保险费等支出。</w:t>
      </w:r>
    </w:p>
    <w:p>
      <w:pPr>
        <w:spacing w:line="560" w:lineRule="exact"/>
        <w:ind w:firstLine="640"/>
        <w:rPr>
          <w:rFonts w:eastAsia="仿宋_GB2312"/>
          <w:sz w:val="32"/>
          <w:szCs w:val="32"/>
        </w:rPr>
      </w:pPr>
      <w:r>
        <w:rPr>
          <w:rFonts w:eastAsia="仿宋_GB2312"/>
          <w:b/>
          <w:bCs/>
          <w:sz w:val="32"/>
          <w:szCs w:val="32"/>
        </w:rPr>
        <w:t>3.公务接待费支出0.13万元，完成预算100%。</w:t>
      </w:r>
      <w:r>
        <w:rPr>
          <w:rFonts w:eastAsia="仿宋_GB2312"/>
          <w:sz w:val="32"/>
          <w:szCs w:val="32"/>
        </w:rPr>
        <w:t>公务接待费支出决算比上年度增加0.04万元，增长44.44%。主要原因是2025年度公务接待人数增加。其中：</w:t>
      </w:r>
    </w:p>
    <w:p>
      <w:pPr>
        <w:spacing w:line="560" w:lineRule="exact"/>
        <w:ind w:firstLine="640"/>
        <w:rPr>
          <w:rFonts w:eastAsia="仿宋_GB2312"/>
          <w:sz w:val="32"/>
          <w:szCs w:val="32"/>
        </w:rPr>
      </w:pPr>
      <w:r>
        <w:rPr>
          <w:rFonts w:eastAsia="仿宋_GB2312"/>
          <w:sz w:val="32"/>
          <w:szCs w:val="32"/>
        </w:rPr>
        <w:t>国内公务接待支出0.13万元，主要用于接待沈阳市城市精细化管理服务中心赴攀枝花公园开展调研用餐费。国内公务接待1批次，5人次（不包括陪同人员），共计支出0.13万元，具体内容包括：接待沈阳市城市精细化管理服务中心赴攀枝花公园开展调研用餐费0.13万元。</w:t>
      </w:r>
    </w:p>
    <w:p>
      <w:pPr>
        <w:spacing w:line="560" w:lineRule="exact"/>
        <w:ind w:firstLine="640"/>
        <w:rPr>
          <w:rFonts w:eastAsia="仿宋_GB2312"/>
          <w:sz w:val="32"/>
          <w:szCs w:val="32"/>
        </w:rPr>
      </w:pPr>
      <w:r>
        <w:rPr>
          <w:rFonts w:eastAsia="仿宋_GB2312"/>
          <w:sz w:val="32"/>
          <w:szCs w:val="32"/>
        </w:rPr>
        <w:t>外事接待支出0万元。外事接待0批次，0人次（不包括陪同人员），共计支出0万元。</w:t>
      </w:r>
      <w:bookmarkStart w:id="46" w:name="_Toc15396610"/>
      <w:bookmarkStart w:id="47" w:name="_Toc15377218"/>
    </w:p>
    <w:p>
      <w:pPr>
        <w:spacing w:line="560" w:lineRule="exact"/>
        <w:ind w:firstLine="640"/>
        <w:outlineLvl w:val="1"/>
        <w:rPr>
          <w:rStyle w:val="29"/>
          <w:rFonts w:ascii="Times New Roman" w:hAnsi="Times New Roman" w:eastAsia="黑体" w:cs="Times New Roman"/>
        </w:rPr>
      </w:pPr>
      <w:r>
        <w:rPr>
          <w:rFonts w:eastAsia="黑体"/>
          <w:sz w:val="32"/>
          <w:szCs w:val="32"/>
        </w:rPr>
        <w:t>八、</w:t>
      </w:r>
      <w:r>
        <w:rPr>
          <w:rStyle w:val="29"/>
          <w:rFonts w:ascii="Times New Roman" w:hAnsi="Times New Roman" w:eastAsia="黑体" w:cs="Times New Roman"/>
          <w:b w:val="0"/>
        </w:rPr>
        <w:t>政府性基金预算支出决算情况说明</w:t>
      </w:r>
      <w:bookmarkEnd w:id="46"/>
      <w:bookmarkEnd w:id="47"/>
    </w:p>
    <w:p>
      <w:pPr>
        <w:spacing w:line="560" w:lineRule="exact"/>
        <w:ind w:firstLine="640"/>
        <w:rPr>
          <w:rFonts w:eastAsia="仿宋_GB2312"/>
          <w:b/>
          <w:bCs/>
          <w:sz w:val="32"/>
          <w:szCs w:val="32"/>
        </w:rPr>
      </w:pPr>
      <w:r>
        <w:rPr>
          <w:rFonts w:eastAsia="仿宋_GB2312"/>
          <w:sz w:val="32"/>
          <w:szCs w:val="32"/>
        </w:rPr>
        <w:t>2025年度政府性基金预算财政拨款支出286.13万元，占本年支出合计的4.3%。与上年度相比，政府性基金预算财政拨款支出减少19.78万元，下降6.47%。主要变动原因是2025年度政府性基金预算财政拨款支出压减了项目支出。</w:t>
      </w:r>
    </w:p>
    <w:p>
      <w:pPr>
        <w:spacing w:line="560" w:lineRule="exact"/>
        <w:ind w:left="630"/>
        <w:outlineLvl w:val="1"/>
        <w:rPr>
          <w:rStyle w:val="29"/>
          <w:rFonts w:ascii="Times New Roman" w:hAnsi="Times New Roman" w:eastAsia="黑体" w:cs="Times New Roman"/>
          <w:b w:val="0"/>
        </w:rPr>
      </w:pPr>
      <w:bookmarkStart w:id="48" w:name="_Toc15377219"/>
      <w:bookmarkStart w:id="49" w:name="_Toc15396611"/>
      <w:r>
        <w:rPr>
          <w:rStyle w:val="29"/>
          <w:rFonts w:ascii="Times New Roman" w:hAnsi="Times New Roman" w:eastAsia="黑体" w:cs="Times New Roman"/>
          <w:b w:val="0"/>
        </w:rPr>
        <w:t>九、国有资本经营预算支出决算情况说明</w:t>
      </w:r>
      <w:bookmarkEnd w:id="48"/>
      <w:bookmarkEnd w:id="49"/>
    </w:p>
    <w:p>
      <w:pPr>
        <w:spacing w:line="560" w:lineRule="exact"/>
        <w:ind w:firstLine="640"/>
        <w:rPr>
          <w:rFonts w:eastAsia="仿宋_GB2312"/>
          <w:sz w:val="32"/>
          <w:szCs w:val="32"/>
        </w:rPr>
      </w:pPr>
      <w:r>
        <w:rPr>
          <w:rFonts w:eastAsia="仿宋_GB2312"/>
          <w:sz w:val="32"/>
          <w:szCs w:val="32"/>
        </w:rPr>
        <w:t>2025年度国有资本经营预算财政拨款支出0万元，占本年支出合计的0%。与上年度相比，国有资本经营预算财政拨款</w:t>
      </w:r>
      <w:r>
        <w:rPr>
          <w:rFonts w:eastAsia="仿宋_GB2312"/>
          <w:bCs/>
          <w:sz w:val="32"/>
          <w:szCs w:val="32"/>
        </w:rPr>
        <w:t>支出数与上年持平</w:t>
      </w:r>
      <w:r>
        <w:rPr>
          <w:rFonts w:eastAsia="仿宋_GB2312"/>
          <w:sz w:val="32"/>
          <w:szCs w:val="32"/>
        </w:rPr>
        <w:t>。</w:t>
      </w:r>
    </w:p>
    <w:p>
      <w:pPr>
        <w:spacing w:line="560" w:lineRule="exact"/>
        <w:ind w:left="630"/>
        <w:outlineLvl w:val="1"/>
        <w:rPr>
          <w:rStyle w:val="29"/>
          <w:rFonts w:ascii="Times New Roman" w:hAnsi="Times New Roman" w:eastAsia="黑体" w:cs="Times New Roman"/>
          <w:b w:val="0"/>
        </w:rPr>
      </w:pPr>
      <w:bookmarkStart w:id="50" w:name="_Toc15396612"/>
      <w:bookmarkStart w:id="51" w:name="_Toc15377221"/>
      <w:r>
        <w:rPr>
          <w:rStyle w:val="29"/>
          <w:rFonts w:ascii="Times New Roman" w:hAnsi="Times New Roman" w:eastAsia="黑体" w:cs="Times New Roman"/>
          <w:b w:val="0"/>
        </w:rPr>
        <w:t>十、其他重要事项的情况说明</w:t>
      </w:r>
      <w:bookmarkEnd w:id="50"/>
      <w:bookmarkEnd w:id="51"/>
    </w:p>
    <w:p>
      <w:pPr>
        <w:spacing w:line="560" w:lineRule="exact"/>
        <w:ind w:firstLine="642" w:firstLineChars="200"/>
        <w:outlineLvl w:val="2"/>
        <w:rPr>
          <w:rFonts w:eastAsia="楷体_GB2312"/>
          <w:b/>
          <w:sz w:val="32"/>
          <w:szCs w:val="32"/>
        </w:rPr>
      </w:pPr>
      <w:bookmarkStart w:id="52" w:name="_Toc15377222"/>
      <w:r>
        <w:rPr>
          <w:rFonts w:eastAsia="楷体_GB2312"/>
          <w:b/>
          <w:sz w:val="32"/>
          <w:szCs w:val="32"/>
        </w:rPr>
        <w:t>（一）机关运行经费支出情况</w:t>
      </w:r>
      <w:bookmarkEnd w:id="52"/>
    </w:p>
    <w:p>
      <w:pPr>
        <w:spacing w:line="560" w:lineRule="exact"/>
        <w:ind w:firstLine="640"/>
        <w:rPr>
          <w:rFonts w:eastAsia="仿宋_GB2312"/>
          <w:sz w:val="32"/>
          <w:szCs w:val="32"/>
        </w:rPr>
      </w:pPr>
      <w:r>
        <w:rPr>
          <w:rFonts w:eastAsia="仿宋_GB2312"/>
          <w:sz w:val="32"/>
          <w:szCs w:val="32"/>
        </w:rPr>
        <w:t>2025年度，攀枝花市园林绿化服务中心机关运行经费支出0万元，与上年度决算数持平。</w:t>
      </w:r>
    </w:p>
    <w:p>
      <w:pPr>
        <w:spacing w:line="560" w:lineRule="exact"/>
        <w:ind w:firstLine="642" w:firstLineChars="200"/>
        <w:outlineLvl w:val="2"/>
        <w:rPr>
          <w:rFonts w:eastAsia="楷体_GB2312"/>
          <w:b/>
          <w:sz w:val="32"/>
          <w:szCs w:val="32"/>
        </w:rPr>
      </w:pPr>
      <w:bookmarkStart w:id="53" w:name="_Toc15377223"/>
      <w:r>
        <w:rPr>
          <w:rFonts w:eastAsia="楷体_GB2312"/>
          <w:b/>
          <w:sz w:val="32"/>
          <w:szCs w:val="32"/>
        </w:rPr>
        <w:t>（二）政府采购支出情况</w:t>
      </w:r>
      <w:bookmarkEnd w:id="53"/>
    </w:p>
    <w:p>
      <w:pPr>
        <w:spacing w:line="560" w:lineRule="exact"/>
        <w:ind w:firstLine="640"/>
        <w:rPr>
          <w:rFonts w:eastAsia="仿宋_GB2312"/>
          <w:sz w:val="32"/>
          <w:szCs w:val="32"/>
        </w:rPr>
      </w:pPr>
      <w:r>
        <w:rPr>
          <w:rFonts w:eastAsia="仿宋_GB2312"/>
          <w:sz w:val="32"/>
          <w:szCs w:val="32"/>
        </w:rPr>
        <w:t>2025年度，攀枝花市园林绿化服务中心政府采购支出总额33.93万元，其中：政府采购货物支出4.71万元、政府采购工程支出0万元、政府采购服务支出29.22万元。主要用于办公设备采购、公务车辆加油服务、公务车辆维修服务和公务车辆保险服务。授予中小企业合同金额33.93万元，占政府采购支出总额的100%，其中：授予小微企业合同金额33.93万元，占政府采购支出总额的100%。</w:t>
      </w:r>
    </w:p>
    <w:p>
      <w:pPr>
        <w:spacing w:line="560" w:lineRule="exact"/>
        <w:ind w:firstLine="642" w:firstLineChars="200"/>
        <w:outlineLvl w:val="2"/>
        <w:rPr>
          <w:rFonts w:eastAsia="楷体_GB2312"/>
          <w:b/>
          <w:sz w:val="32"/>
          <w:szCs w:val="32"/>
        </w:rPr>
      </w:pPr>
      <w:bookmarkStart w:id="54" w:name="_Toc15377224"/>
      <w:r>
        <w:rPr>
          <w:rFonts w:eastAsia="楷体_GB2312"/>
          <w:b/>
          <w:sz w:val="32"/>
          <w:szCs w:val="32"/>
        </w:rPr>
        <w:t>（三）国有资产占有使用情况</w:t>
      </w:r>
      <w:bookmarkEnd w:id="54"/>
    </w:p>
    <w:p>
      <w:pPr>
        <w:spacing w:line="560" w:lineRule="exact"/>
        <w:ind w:firstLine="640"/>
        <w:rPr>
          <w:rFonts w:eastAsia="仿宋_GB2312"/>
          <w:sz w:val="32"/>
          <w:szCs w:val="32"/>
        </w:rPr>
      </w:pPr>
      <w:r>
        <w:rPr>
          <w:rFonts w:eastAsia="仿宋_GB2312"/>
          <w:sz w:val="32"/>
          <w:szCs w:val="32"/>
        </w:rPr>
        <w:t>截至2025年12月31日，攀枝花市园林绿化服务中心共有车辆24辆，其中：特种专业技术用车14辆、其他用车10辆，其他用车主要是用于公务出行、绿化巡检等工作。单价100万元（含）以上设备（不含车辆）0台（套）。</w:t>
      </w:r>
    </w:p>
    <w:p>
      <w:pPr>
        <w:spacing w:line="560" w:lineRule="exact"/>
        <w:ind w:firstLine="642" w:firstLineChars="200"/>
        <w:outlineLvl w:val="2"/>
        <w:rPr>
          <w:rFonts w:eastAsia="楷体_GB2312"/>
          <w:b/>
          <w:sz w:val="32"/>
          <w:szCs w:val="32"/>
        </w:rPr>
      </w:pPr>
      <w:r>
        <w:rPr>
          <w:rFonts w:eastAsia="楷体_GB2312"/>
          <w:b/>
          <w:sz w:val="32"/>
          <w:szCs w:val="32"/>
        </w:rPr>
        <w:t>（四）预算绩效管理情况</w:t>
      </w:r>
    </w:p>
    <w:p>
      <w:pPr>
        <w:spacing w:line="560" w:lineRule="exact"/>
        <w:ind w:firstLine="640"/>
        <w:rPr>
          <w:rFonts w:eastAsia="仿宋_GB2312"/>
          <w:sz w:val="32"/>
          <w:szCs w:val="32"/>
        </w:rPr>
      </w:pPr>
      <w:r>
        <w:rPr>
          <w:rFonts w:eastAsia="仿宋_GB2312"/>
          <w:sz w:val="32"/>
          <w:szCs w:val="32"/>
        </w:rPr>
        <w:t>根据预算绩效管理要求，攀枝花市园林绿化服务中心在2025年度，组织对生产管护费、“三位一体”防灭火专项建设、钢城大道西段、木棉路、炳清线城市主干道绿化整治、攀枝花市绿化再生资源处理利用站提质增效建设、花街三期打造、攀枝花公园边坡垮塌地质灾害治理、2024年春节氛围营造、金沙江大道东段和隆庆路绿化整治工程、三线大道北段和龙密路绿化整治工程、三线大道绿化整治工程、隔离栏花箱采购、攀枝花市园林绿化服务中心部分市政设施经营权出让可行性评估和编制项目实施方案、攀枝花市园林绿化服务中心部分市政设施经营权价值评估等13个项目涉及金额833.72万元开展了事前绩效评估，对13个项目编制了绩效目标，预算执行过程中，选取13个项目开展绩效监控。</w:t>
      </w:r>
    </w:p>
    <w:p>
      <w:pPr>
        <w:spacing w:line="560" w:lineRule="exact"/>
        <w:ind w:firstLine="640"/>
        <w:rPr>
          <w:rFonts w:eastAsia="仿宋_GB2312"/>
          <w:sz w:val="32"/>
          <w:szCs w:val="32"/>
        </w:rPr>
      </w:pPr>
      <w:r>
        <w:rPr>
          <w:rFonts w:eastAsia="仿宋_GB2312"/>
          <w:sz w:val="32"/>
          <w:szCs w:val="32"/>
        </w:rPr>
        <w:t>组织对2025年度一般公共预算、政府性基金预算、国有资本经营预算、社会保险基金预算以及资本资产、债券资金等全面开展绩效自评，形成“三位一体”防灭火专项建设、钢城大道西段、木棉路、炳清线城市主干道绿化整治、攀枝花市绿化再生资源处理利用站提质增效建设、花街三期打造、攀枝花公园边坡垮塌地质灾害治理、2024年春节氛围营造、金沙江大道东段和隆庆路绿化整治工程、三线大道北段和龙密路绿化整治工程、三线大道绿化整治工程、隔离栏花箱采购、攀枝花市园林绿化服务中心部分市政设施经营权出让可行性评估和编制项目实施方案、攀枝花市园林绿化服务中心部分市政设施经营权价值评估等专项预算项目绩效自评报告，绩效自评报告详见附件。</w:t>
      </w:r>
    </w:p>
    <w:p>
      <w:pPr>
        <w:spacing w:line="560" w:lineRule="exact"/>
        <w:jc w:val="center"/>
        <w:outlineLvl w:val="0"/>
        <w:rPr>
          <w:rFonts w:eastAsia="仿宋_GB2312"/>
          <w:sz w:val="44"/>
          <w:szCs w:val="44"/>
        </w:rPr>
      </w:pPr>
      <w:bookmarkStart w:id="55" w:name="_Toc15396613"/>
      <w:bookmarkStart w:id="56" w:name="_Toc15377225"/>
    </w:p>
    <w:p>
      <w:pPr>
        <w:spacing w:line="560" w:lineRule="exact"/>
        <w:jc w:val="center"/>
        <w:outlineLvl w:val="0"/>
        <w:rPr>
          <w:rFonts w:eastAsia="黑体"/>
          <w:sz w:val="44"/>
          <w:szCs w:val="44"/>
        </w:rPr>
      </w:pPr>
      <w:r>
        <w:rPr>
          <w:rFonts w:eastAsia="黑体"/>
          <w:sz w:val="44"/>
          <w:szCs w:val="44"/>
        </w:rPr>
        <w:t>第三部分  名词解释</w:t>
      </w:r>
      <w:bookmarkEnd w:id="55"/>
      <w:bookmarkEnd w:id="56"/>
    </w:p>
    <w:p>
      <w:pPr>
        <w:spacing w:line="560" w:lineRule="exact"/>
        <w:jc w:val="left"/>
        <w:rPr>
          <w:b/>
          <w:sz w:val="44"/>
          <w:szCs w:val="44"/>
        </w:rPr>
      </w:pPr>
    </w:p>
    <w:p>
      <w:pPr>
        <w:spacing w:line="560" w:lineRule="exact"/>
        <w:ind w:firstLine="640"/>
        <w:rPr>
          <w:rFonts w:eastAsia="仿宋_GB2312"/>
          <w:sz w:val="32"/>
          <w:szCs w:val="32"/>
        </w:rPr>
      </w:pPr>
      <w:r>
        <w:rPr>
          <w:rFonts w:eastAsia="仿宋_GB2312"/>
          <w:sz w:val="32"/>
          <w:szCs w:val="32"/>
        </w:rPr>
        <w:t>1.财政拨款收入：指单位从同级财政部门取得的财政预算资金。</w:t>
      </w:r>
    </w:p>
    <w:p>
      <w:pPr>
        <w:spacing w:line="560" w:lineRule="exact"/>
        <w:ind w:firstLine="640" w:firstLineChars="200"/>
        <w:rPr>
          <w:rFonts w:eastAsia="仿宋_GB2312"/>
          <w:sz w:val="32"/>
          <w:szCs w:val="32"/>
        </w:rPr>
      </w:pPr>
      <w:r>
        <w:rPr>
          <w:rFonts w:eastAsia="仿宋_GB2312"/>
          <w:sz w:val="32"/>
          <w:szCs w:val="32"/>
        </w:rPr>
        <w:t>2.社会保障和就业支出（类）行政事业单位养老支出（款）事业单位离退休（项）：指事业单位支出的离退休经费。</w:t>
      </w:r>
    </w:p>
    <w:p>
      <w:pPr>
        <w:spacing w:line="560" w:lineRule="exact"/>
        <w:ind w:firstLine="640" w:firstLineChars="200"/>
        <w:rPr>
          <w:rFonts w:eastAsia="仿宋_GB2312"/>
          <w:sz w:val="32"/>
          <w:szCs w:val="32"/>
        </w:rPr>
      </w:pPr>
      <w:r>
        <w:rPr>
          <w:rFonts w:eastAsia="仿宋_GB2312"/>
          <w:sz w:val="32"/>
          <w:szCs w:val="32"/>
        </w:rPr>
        <w:t>3.社会保障和就业支出（类）行政事业单位养老支出（款）机关事业单位基本养老保险缴费支出（项）：指机关事业单位实施养老保险制度由单位缴纳的基本养老保险费支出。</w:t>
      </w:r>
    </w:p>
    <w:p>
      <w:pPr>
        <w:spacing w:line="560" w:lineRule="exact"/>
        <w:ind w:firstLine="640" w:firstLineChars="200"/>
        <w:rPr>
          <w:rFonts w:eastAsia="仿宋_GB2312"/>
          <w:sz w:val="32"/>
          <w:szCs w:val="32"/>
        </w:rPr>
      </w:pPr>
      <w:r>
        <w:rPr>
          <w:rFonts w:eastAsia="仿宋_GB2312"/>
          <w:sz w:val="32"/>
          <w:szCs w:val="32"/>
        </w:rPr>
        <w:t>4.社会保障和就业支出（类）行政事业单位养老支出（款）机关事业单位职业年金缴费支出（项）：指机关事业单位实施养老保险制度由单位实际缴纳的职业年金支出（含职业年金补记支出）。</w:t>
      </w:r>
    </w:p>
    <w:p>
      <w:pPr>
        <w:spacing w:line="560" w:lineRule="exact"/>
        <w:ind w:firstLine="640" w:firstLineChars="200"/>
        <w:rPr>
          <w:rFonts w:eastAsia="仿宋_GB2312"/>
          <w:sz w:val="32"/>
          <w:szCs w:val="32"/>
        </w:rPr>
      </w:pPr>
      <w:r>
        <w:rPr>
          <w:rFonts w:eastAsia="仿宋_GB2312"/>
          <w:sz w:val="32"/>
          <w:szCs w:val="32"/>
        </w:rPr>
        <w:t>5.社会保障和就业支出（类）抚恤（款）死亡抚恤（项）：指用于烈士和牺牲、病故人员家属的一次性和定期抚恤金、丧葬补助费以及烈士褒扬金。</w:t>
      </w:r>
    </w:p>
    <w:p>
      <w:pPr>
        <w:spacing w:line="560" w:lineRule="exact"/>
        <w:ind w:firstLine="640" w:firstLineChars="200"/>
        <w:rPr>
          <w:rFonts w:eastAsia="仿宋_GB2312"/>
          <w:sz w:val="32"/>
          <w:szCs w:val="32"/>
        </w:rPr>
      </w:pPr>
      <w:r>
        <w:rPr>
          <w:rFonts w:eastAsia="仿宋_GB2312"/>
          <w:sz w:val="32"/>
          <w:szCs w:val="32"/>
        </w:rPr>
        <w:t>6.卫生健康支出（类）行政事业单位医疗（款）公务员医疗补助（项）：指用于财政部门安排的公务员医疗补助支出。</w:t>
      </w:r>
    </w:p>
    <w:p>
      <w:pPr>
        <w:spacing w:line="560" w:lineRule="exact"/>
        <w:ind w:firstLine="640" w:firstLineChars="200"/>
        <w:rPr>
          <w:rFonts w:eastAsia="仿宋_GB2312"/>
          <w:sz w:val="32"/>
          <w:szCs w:val="32"/>
        </w:rPr>
      </w:pPr>
      <w:r>
        <w:rPr>
          <w:rFonts w:eastAsia="仿宋_GB2312"/>
          <w:sz w:val="32"/>
          <w:szCs w:val="32"/>
        </w:rPr>
        <w:t>7.卫生健康支出（类）行政事业单位医疗（款）事业单位医疗（项）：指财政部门安排的事业单位基本医疗保险缴费经费，未参加医疗保险的事业单位的公费医疗经费，按国家规定享受离休人员待遇的医疗经费。</w:t>
      </w:r>
    </w:p>
    <w:p>
      <w:pPr>
        <w:spacing w:line="560" w:lineRule="exact"/>
        <w:ind w:firstLine="640" w:firstLineChars="200"/>
        <w:rPr>
          <w:rFonts w:eastAsia="仿宋_GB2312"/>
          <w:sz w:val="32"/>
          <w:szCs w:val="32"/>
        </w:rPr>
      </w:pPr>
      <w:r>
        <w:rPr>
          <w:rFonts w:eastAsia="仿宋_GB2312"/>
          <w:sz w:val="32"/>
          <w:szCs w:val="32"/>
        </w:rPr>
        <w:t>8.卫生健康支出（类）行政事业单位医疗（款）其他行政事业单位医疗支出（项）：指用于行政事业单位其他医疗方面的支出。</w:t>
      </w:r>
    </w:p>
    <w:p>
      <w:pPr>
        <w:spacing w:line="560" w:lineRule="exact"/>
        <w:ind w:firstLine="640" w:firstLineChars="200"/>
        <w:rPr>
          <w:rFonts w:eastAsia="仿宋_GB2312"/>
          <w:sz w:val="32"/>
          <w:szCs w:val="32"/>
        </w:rPr>
      </w:pPr>
      <w:r>
        <w:rPr>
          <w:rFonts w:eastAsia="仿宋_GB2312"/>
          <w:sz w:val="32"/>
          <w:szCs w:val="32"/>
        </w:rPr>
        <w:t>9.城乡社区支出（类）城乡社区管理事务（款）其他城乡社区管理事务支出（项）：指用于其他城乡社区方面的支出。</w:t>
      </w:r>
    </w:p>
    <w:p>
      <w:pPr>
        <w:spacing w:line="560" w:lineRule="exact"/>
        <w:ind w:firstLine="640" w:firstLineChars="200"/>
        <w:rPr>
          <w:rFonts w:eastAsia="仿宋_GB2312"/>
          <w:sz w:val="32"/>
          <w:szCs w:val="32"/>
        </w:rPr>
      </w:pPr>
      <w:r>
        <w:rPr>
          <w:rFonts w:eastAsia="仿宋_GB2312"/>
          <w:sz w:val="32"/>
          <w:szCs w:val="32"/>
        </w:rPr>
        <w:t>10.</w:t>
      </w:r>
      <w:bookmarkStart w:id="57" w:name="OLE_LINK10"/>
      <w:bookmarkStart w:id="58" w:name="OLE_LINK9"/>
      <w:r>
        <w:rPr>
          <w:rFonts w:eastAsia="仿宋_GB2312"/>
          <w:sz w:val="32"/>
          <w:szCs w:val="32"/>
        </w:rPr>
        <w:t>城乡社区支出（类）</w:t>
      </w:r>
      <w:bookmarkEnd w:id="57"/>
      <w:bookmarkEnd w:id="58"/>
      <w:r>
        <w:rPr>
          <w:rFonts w:eastAsia="仿宋_GB2312"/>
          <w:sz w:val="32"/>
          <w:szCs w:val="32"/>
        </w:rPr>
        <w:t>城乡社区环境卫生（款）城乡社区环境卫生（项）：指城乡社区道路清扫、垃圾清运与处理、公厕建设与维护、园林绿化等方面的支出。</w:t>
      </w:r>
    </w:p>
    <w:p>
      <w:pPr>
        <w:spacing w:line="560" w:lineRule="exact"/>
        <w:ind w:firstLine="640" w:firstLineChars="200"/>
        <w:rPr>
          <w:rFonts w:eastAsia="仿宋_GB2312"/>
          <w:sz w:val="32"/>
          <w:szCs w:val="32"/>
        </w:rPr>
      </w:pPr>
      <w:r>
        <w:rPr>
          <w:rFonts w:eastAsia="仿宋_GB2312"/>
          <w:sz w:val="32"/>
          <w:szCs w:val="32"/>
        </w:rPr>
        <w:t>11.城乡社区支出（类）国有土地使用权出让收入安排的支出（款）城市建设支出（项）：指用于完善城市功能、改善人居环境、提升综合承载能力的专项支出。</w:t>
      </w:r>
    </w:p>
    <w:p>
      <w:pPr>
        <w:spacing w:line="560" w:lineRule="exact"/>
        <w:ind w:firstLine="640" w:firstLineChars="200"/>
        <w:rPr>
          <w:rFonts w:eastAsia="仿宋_GB2312"/>
          <w:sz w:val="32"/>
          <w:szCs w:val="32"/>
        </w:rPr>
      </w:pPr>
      <w:r>
        <w:rPr>
          <w:rFonts w:eastAsia="仿宋_GB2312"/>
          <w:sz w:val="32"/>
          <w:szCs w:val="32"/>
        </w:rPr>
        <w:t>12.住房保障支出（类）住房改革支出（款）住房公积金（项）：指行政事业单位按人力资源和社会保障部、财政部规定的基本工资和津贴补贴以及规定比例为职工缴纳的住房公积金。</w:t>
      </w:r>
    </w:p>
    <w:p>
      <w:pPr>
        <w:spacing w:line="560" w:lineRule="exact"/>
        <w:ind w:firstLine="640"/>
        <w:rPr>
          <w:rFonts w:eastAsia="仿宋_GB2312"/>
          <w:sz w:val="32"/>
          <w:szCs w:val="32"/>
        </w:rPr>
      </w:pPr>
      <w:r>
        <w:rPr>
          <w:rFonts w:eastAsia="仿宋_GB2312"/>
          <w:sz w:val="32"/>
          <w:szCs w:val="32"/>
        </w:rPr>
        <w:t>13.其他支出（类）其他政府性基金及对应专项债务收入安排的支出（款）其他政府性基金债务收入安排的支出（项）：指用未纳入特定专项债券科目的政府性基金债务收入安排的支出。</w:t>
      </w:r>
    </w:p>
    <w:p>
      <w:pPr>
        <w:spacing w:line="560" w:lineRule="exact"/>
        <w:ind w:firstLine="640"/>
        <w:rPr>
          <w:rFonts w:eastAsia="仿宋_GB2312"/>
          <w:sz w:val="32"/>
          <w:szCs w:val="32"/>
        </w:rPr>
      </w:pPr>
      <w:r>
        <w:rPr>
          <w:rFonts w:eastAsia="仿宋_GB2312"/>
          <w:sz w:val="32"/>
          <w:szCs w:val="32"/>
        </w:rPr>
        <w:t>14.基本支出：指为保障机构正常运转、完成日常工作任务而发生的人员支出和公用支出。</w:t>
      </w:r>
    </w:p>
    <w:p>
      <w:pPr>
        <w:spacing w:line="560" w:lineRule="exact"/>
        <w:ind w:firstLine="640"/>
        <w:rPr>
          <w:rFonts w:eastAsia="仿宋_GB2312"/>
          <w:sz w:val="32"/>
          <w:szCs w:val="32"/>
        </w:rPr>
      </w:pPr>
      <w:r>
        <w:rPr>
          <w:rFonts w:eastAsia="仿宋_GB2312"/>
          <w:sz w:val="32"/>
          <w:szCs w:val="32"/>
        </w:rPr>
        <w:t>15.项目支出：指在基本支出之外为完成特定行政任务和事业发展目标所发生的支出。</w:t>
      </w:r>
    </w:p>
    <w:p>
      <w:pPr>
        <w:spacing w:line="560" w:lineRule="exact"/>
        <w:ind w:firstLine="640"/>
        <w:rPr>
          <w:rFonts w:eastAsia="仿宋_GB2312"/>
          <w:sz w:val="32"/>
          <w:szCs w:val="32"/>
        </w:rPr>
      </w:pPr>
      <w:r>
        <w:rPr>
          <w:rFonts w:eastAsia="仿宋_GB2312"/>
          <w:sz w:val="32"/>
          <w:szCs w:val="32"/>
        </w:rPr>
        <w:t>16.“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jc w:val="center"/>
        <w:rPr>
          <w:rStyle w:val="28"/>
          <w:rFonts w:eastAsia="黑体"/>
          <w:b w:val="0"/>
        </w:rPr>
      </w:pPr>
      <w:bookmarkStart w:id="59" w:name="_Toc15377226"/>
      <w:r>
        <w:rPr>
          <w:rFonts w:eastAsia="仿宋_GB2312"/>
          <w:sz w:val="32"/>
          <w:szCs w:val="32"/>
        </w:rPr>
        <w:br w:type="page"/>
      </w:r>
      <w:bookmarkStart w:id="60" w:name="_Toc15396614"/>
      <w:r>
        <w:rPr>
          <w:rFonts w:eastAsia="黑体"/>
          <w:sz w:val="44"/>
          <w:szCs w:val="44"/>
        </w:rPr>
        <w:t>第四部分  附件</w:t>
      </w:r>
      <w:bookmarkEnd w:id="60"/>
    </w:p>
    <w:p>
      <w:pPr>
        <w:pStyle w:val="3"/>
        <w:spacing w:line="560" w:lineRule="exact"/>
        <w:ind w:left="0" w:leftChars="0" w:firstLine="643"/>
        <w:rPr>
          <w:rFonts w:ascii="Times New Roman" w:eastAsia="仿宋_GB2312"/>
          <w:b/>
          <w:kern w:val="0"/>
          <w:sz w:val="32"/>
        </w:rPr>
      </w:pPr>
    </w:p>
    <w:p>
      <w:pPr>
        <w:pStyle w:val="3"/>
        <w:spacing w:line="560" w:lineRule="exact"/>
        <w:ind w:left="0" w:leftChars="0" w:firstLine="640"/>
        <w:rPr>
          <w:rFonts w:ascii="Times New Roman" w:eastAsia="仿宋_GB2312"/>
          <w:sz w:val="32"/>
        </w:rPr>
      </w:pPr>
      <w:r>
        <w:rPr>
          <w:rFonts w:ascii="Times New Roman" w:eastAsia="仿宋_GB2312"/>
          <w:sz w:val="32"/>
        </w:rPr>
        <w:t>部门预算项目支出绩效自评表（2025年度）</w:t>
      </w:r>
    </w:p>
    <w:p>
      <w:pPr>
        <w:spacing w:line="560" w:lineRule="exact"/>
        <w:jc w:val="left"/>
        <w:outlineLvl w:val="0"/>
        <w:rPr>
          <w:rFonts w:eastAsia="黑体"/>
          <w:color w:val="FF0000"/>
          <w:sz w:val="32"/>
          <w:szCs w:val="32"/>
        </w:rPr>
      </w:pPr>
    </w:p>
    <w:p>
      <w:pPr>
        <w:spacing w:line="560" w:lineRule="exact"/>
        <w:ind w:firstLine="640"/>
        <w:rPr>
          <w:rFonts w:eastAsia="仿宋_GB2312"/>
          <w:kern w:val="0"/>
          <w:sz w:val="32"/>
          <w:szCs w:val="32"/>
        </w:rPr>
      </w:pPr>
    </w:p>
    <w:p>
      <w:pPr>
        <w:spacing w:line="560" w:lineRule="exact"/>
        <w:ind w:firstLine="640"/>
        <w:rPr>
          <w:rFonts w:eastAsia="仿宋_GB2312"/>
          <w:kern w:val="0"/>
          <w:sz w:val="32"/>
          <w:szCs w:val="32"/>
        </w:rPr>
      </w:pPr>
    </w:p>
    <w:p>
      <w:pPr>
        <w:spacing w:line="560" w:lineRule="exact"/>
        <w:rPr>
          <w:rFonts w:eastAsia="仿宋_GB2312"/>
          <w:kern w:val="0"/>
          <w:sz w:val="32"/>
          <w:szCs w:val="32"/>
        </w:rPr>
      </w:pPr>
      <w:bookmarkStart w:id="61" w:name="_Toc15396618"/>
      <w:r>
        <w:rPr>
          <w:rFonts w:eastAsia="仿宋_GB2312"/>
          <w:kern w:val="0"/>
          <w:sz w:val="32"/>
          <w:szCs w:val="32"/>
        </w:rPr>
        <w:br w:type="page"/>
      </w:r>
    </w:p>
    <w:p>
      <w:pPr>
        <w:widowControl/>
        <w:spacing w:line="560" w:lineRule="exact"/>
        <w:jc w:val="center"/>
        <w:rPr>
          <w:rFonts w:eastAsia="仿宋"/>
        </w:rPr>
      </w:pPr>
      <w:r>
        <w:rPr>
          <w:rFonts w:eastAsia="黑体"/>
          <w:sz w:val="44"/>
          <w:szCs w:val="44"/>
        </w:rPr>
        <w:t>第</w:t>
      </w:r>
      <w:r>
        <w:rPr>
          <w:rStyle w:val="28"/>
          <w:rFonts w:eastAsia="黑体"/>
          <w:b w:val="0"/>
        </w:rPr>
        <w:t>五部分  附表</w:t>
      </w:r>
      <w:bookmarkEnd w:id="59"/>
      <w:bookmarkEnd w:id="61"/>
      <w:bookmarkStart w:id="62" w:name="_Toc15396619"/>
    </w:p>
    <w:p>
      <w:pPr>
        <w:pStyle w:val="14"/>
        <w:adjustRightInd w:val="0"/>
        <w:snapToGrid w:val="0"/>
        <w:spacing w:line="560" w:lineRule="exact"/>
        <w:jc w:val="left"/>
        <w:rPr>
          <w:rFonts w:eastAsia="仿宋_GB2312"/>
          <w:sz w:val="32"/>
          <w:szCs w:val="32"/>
        </w:rPr>
      </w:pPr>
    </w:p>
    <w:p>
      <w:pPr>
        <w:pStyle w:val="14"/>
        <w:adjustRightInd w:val="0"/>
        <w:snapToGrid w:val="0"/>
        <w:spacing w:line="560" w:lineRule="exact"/>
        <w:jc w:val="left"/>
        <w:rPr>
          <w:rFonts w:eastAsia="仿宋_GB2312"/>
          <w:sz w:val="32"/>
          <w:szCs w:val="32"/>
        </w:rPr>
      </w:pPr>
      <w:r>
        <w:rPr>
          <w:rFonts w:eastAsia="仿宋_GB2312"/>
          <w:sz w:val="32"/>
          <w:szCs w:val="32"/>
        </w:rPr>
        <w:t>一、收入支出决算总表</w:t>
      </w:r>
      <w:bookmarkEnd w:id="62"/>
    </w:p>
    <w:p>
      <w:pPr>
        <w:pStyle w:val="14"/>
        <w:adjustRightInd w:val="0"/>
        <w:snapToGrid w:val="0"/>
        <w:spacing w:line="560" w:lineRule="exact"/>
        <w:jc w:val="left"/>
        <w:rPr>
          <w:rFonts w:eastAsia="仿宋_GB2312"/>
          <w:sz w:val="32"/>
          <w:szCs w:val="32"/>
        </w:rPr>
      </w:pPr>
      <w:bookmarkStart w:id="63" w:name="_Toc15396620"/>
      <w:r>
        <w:rPr>
          <w:rFonts w:eastAsia="仿宋_GB2312"/>
          <w:sz w:val="32"/>
          <w:szCs w:val="32"/>
        </w:rPr>
        <w:t>二、收入决算表</w:t>
      </w:r>
      <w:bookmarkEnd w:id="63"/>
    </w:p>
    <w:p>
      <w:pPr>
        <w:pStyle w:val="14"/>
        <w:adjustRightInd w:val="0"/>
        <w:snapToGrid w:val="0"/>
        <w:spacing w:line="560" w:lineRule="exact"/>
        <w:jc w:val="left"/>
        <w:rPr>
          <w:rFonts w:eastAsia="仿宋_GB2312"/>
          <w:sz w:val="32"/>
          <w:szCs w:val="32"/>
        </w:rPr>
      </w:pPr>
      <w:bookmarkStart w:id="64" w:name="_Toc15396621"/>
      <w:r>
        <w:rPr>
          <w:rFonts w:eastAsia="仿宋_GB2312"/>
          <w:sz w:val="32"/>
          <w:szCs w:val="32"/>
        </w:rPr>
        <w:t>三、支出决算表</w:t>
      </w:r>
      <w:bookmarkEnd w:id="64"/>
    </w:p>
    <w:p>
      <w:pPr>
        <w:pStyle w:val="14"/>
        <w:adjustRightInd w:val="0"/>
        <w:snapToGrid w:val="0"/>
        <w:spacing w:line="560" w:lineRule="exact"/>
        <w:jc w:val="left"/>
        <w:rPr>
          <w:rFonts w:eastAsia="仿宋_GB2312"/>
          <w:sz w:val="32"/>
          <w:szCs w:val="32"/>
        </w:rPr>
      </w:pPr>
      <w:bookmarkStart w:id="65" w:name="_Toc15396622"/>
      <w:r>
        <w:rPr>
          <w:rFonts w:eastAsia="仿宋_GB2312"/>
          <w:sz w:val="32"/>
          <w:szCs w:val="32"/>
        </w:rPr>
        <w:t>四、财政拨款收入支出决算总表</w:t>
      </w:r>
      <w:bookmarkEnd w:id="65"/>
    </w:p>
    <w:p>
      <w:pPr>
        <w:pStyle w:val="14"/>
        <w:adjustRightInd w:val="0"/>
        <w:snapToGrid w:val="0"/>
        <w:spacing w:line="560" w:lineRule="exact"/>
        <w:jc w:val="left"/>
        <w:rPr>
          <w:rFonts w:eastAsia="仿宋_GB2312"/>
          <w:sz w:val="32"/>
          <w:szCs w:val="32"/>
        </w:rPr>
      </w:pPr>
      <w:bookmarkStart w:id="66" w:name="_Toc15396623"/>
      <w:r>
        <w:rPr>
          <w:rFonts w:eastAsia="仿宋_GB2312"/>
          <w:sz w:val="32"/>
          <w:szCs w:val="32"/>
        </w:rPr>
        <w:t>五、财政拨款支出决算明细表</w:t>
      </w:r>
      <w:bookmarkEnd w:id="66"/>
      <w:bookmarkStart w:id="67" w:name="_Toc15396624"/>
    </w:p>
    <w:p>
      <w:pPr>
        <w:pStyle w:val="14"/>
        <w:adjustRightInd w:val="0"/>
        <w:snapToGrid w:val="0"/>
        <w:spacing w:line="560" w:lineRule="exact"/>
        <w:jc w:val="left"/>
        <w:rPr>
          <w:rFonts w:eastAsia="仿宋_GB2312"/>
          <w:sz w:val="32"/>
          <w:szCs w:val="32"/>
        </w:rPr>
      </w:pPr>
      <w:r>
        <w:rPr>
          <w:rFonts w:eastAsia="仿宋_GB2312"/>
          <w:sz w:val="32"/>
          <w:szCs w:val="32"/>
        </w:rPr>
        <w:t>六、一般公共预算财政拨款支出决算表</w:t>
      </w:r>
      <w:bookmarkEnd w:id="67"/>
    </w:p>
    <w:p>
      <w:pPr>
        <w:pStyle w:val="14"/>
        <w:adjustRightInd w:val="0"/>
        <w:snapToGrid w:val="0"/>
        <w:spacing w:line="560" w:lineRule="exact"/>
        <w:jc w:val="left"/>
        <w:rPr>
          <w:rFonts w:eastAsia="仿宋_GB2312"/>
          <w:sz w:val="32"/>
          <w:szCs w:val="32"/>
        </w:rPr>
      </w:pPr>
      <w:bookmarkStart w:id="68" w:name="_Toc15396625"/>
      <w:r>
        <w:rPr>
          <w:rFonts w:eastAsia="仿宋_GB2312"/>
          <w:sz w:val="32"/>
          <w:szCs w:val="32"/>
        </w:rPr>
        <w:t>七、一般公共预算财政拨款支出决算明细表</w:t>
      </w:r>
      <w:bookmarkEnd w:id="68"/>
    </w:p>
    <w:p>
      <w:pPr>
        <w:pStyle w:val="14"/>
        <w:adjustRightInd w:val="0"/>
        <w:snapToGrid w:val="0"/>
        <w:spacing w:line="560" w:lineRule="exact"/>
        <w:jc w:val="left"/>
        <w:rPr>
          <w:rFonts w:eastAsia="仿宋_GB2312"/>
          <w:sz w:val="32"/>
          <w:szCs w:val="32"/>
        </w:rPr>
      </w:pPr>
      <w:bookmarkStart w:id="69" w:name="_Toc15396626"/>
      <w:r>
        <w:rPr>
          <w:rFonts w:eastAsia="仿宋_GB2312"/>
          <w:sz w:val="32"/>
          <w:szCs w:val="32"/>
        </w:rPr>
        <w:t>八、</w:t>
      </w:r>
      <w:bookmarkEnd w:id="69"/>
      <w:r>
        <w:rPr>
          <w:rFonts w:eastAsia="仿宋_GB2312"/>
          <w:sz w:val="32"/>
          <w:szCs w:val="32"/>
        </w:rPr>
        <w:t>一般公共预算财政拨款基本支出决算明细表</w:t>
      </w:r>
    </w:p>
    <w:p>
      <w:pPr>
        <w:pStyle w:val="14"/>
        <w:adjustRightInd w:val="0"/>
        <w:snapToGrid w:val="0"/>
        <w:spacing w:line="560" w:lineRule="exact"/>
        <w:jc w:val="left"/>
        <w:rPr>
          <w:rFonts w:eastAsia="仿宋_GB2312"/>
          <w:sz w:val="32"/>
          <w:szCs w:val="32"/>
        </w:rPr>
      </w:pPr>
      <w:bookmarkStart w:id="70" w:name="_Toc15396627"/>
      <w:r>
        <w:rPr>
          <w:rFonts w:eastAsia="仿宋_GB2312"/>
          <w:sz w:val="32"/>
          <w:szCs w:val="32"/>
        </w:rPr>
        <w:t>九、一般公共预算财政拨款项目支出决算表</w:t>
      </w:r>
      <w:bookmarkEnd w:id="70"/>
    </w:p>
    <w:p>
      <w:pPr>
        <w:pStyle w:val="14"/>
        <w:adjustRightInd w:val="0"/>
        <w:snapToGrid w:val="0"/>
        <w:spacing w:line="560" w:lineRule="exact"/>
        <w:jc w:val="left"/>
        <w:rPr>
          <w:rFonts w:eastAsia="仿宋_GB2312"/>
          <w:sz w:val="32"/>
          <w:szCs w:val="32"/>
        </w:rPr>
      </w:pPr>
      <w:bookmarkStart w:id="71" w:name="_Toc15396628"/>
      <w:r>
        <w:rPr>
          <w:rFonts w:eastAsia="仿宋_GB2312"/>
          <w:sz w:val="32"/>
          <w:szCs w:val="32"/>
        </w:rPr>
        <w:t>十、</w:t>
      </w:r>
      <w:bookmarkEnd w:id="71"/>
      <w:r>
        <w:rPr>
          <w:rFonts w:eastAsia="仿宋_GB2312"/>
          <w:sz w:val="32"/>
          <w:szCs w:val="32"/>
        </w:rPr>
        <w:t>政府性基金预算财政拨款收入支出决算表</w:t>
      </w:r>
    </w:p>
    <w:p>
      <w:pPr>
        <w:pStyle w:val="14"/>
        <w:adjustRightInd w:val="0"/>
        <w:snapToGrid w:val="0"/>
        <w:spacing w:line="560" w:lineRule="exact"/>
        <w:ind w:left="1060" w:hanging="640" w:hangingChars="200"/>
        <w:jc w:val="left"/>
        <w:rPr>
          <w:rFonts w:eastAsia="仿宋_GB2312"/>
          <w:sz w:val="32"/>
          <w:szCs w:val="32"/>
        </w:rPr>
      </w:pPr>
      <w:bookmarkStart w:id="72" w:name="_Toc15396629"/>
      <w:r>
        <w:rPr>
          <w:rFonts w:eastAsia="仿宋_GB2312"/>
          <w:sz w:val="32"/>
          <w:szCs w:val="32"/>
        </w:rPr>
        <w:t>十一、</w:t>
      </w:r>
      <w:bookmarkEnd w:id="72"/>
      <w:r>
        <w:rPr>
          <w:rFonts w:eastAsia="仿宋_GB2312"/>
          <w:sz w:val="32"/>
          <w:szCs w:val="32"/>
        </w:rPr>
        <w:t>国有资本经营预算财政拨款收入支出决算表（此表无数据）</w:t>
      </w:r>
    </w:p>
    <w:p>
      <w:pPr>
        <w:pStyle w:val="14"/>
        <w:adjustRightInd w:val="0"/>
        <w:snapToGrid w:val="0"/>
        <w:spacing w:line="560" w:lineRule="exact"/>
        <w:ind w:left="1060" w:hanging="640" w:hangingChars="200"/>
        <w:jc w:val="left"/>
        <w:rPr>
          <w:rFonts w:eastAsia="仿宋_GB2312"/>
          <w:sz w:val="32"/>
          <w:szCs w:val="32"/>
        </w:rPr>
      </w:pPr>
      <w:bookmarkStart w:id="73" w:name="_Toc15396630"/>
      <w:r>
        <w:rPr>
          <w:rFonts w:eastAsia="仿宋_GB2312"/>
          <w:sz w:val="32"/>
          <w:szCs w:val="32"/>
        </w:rPr>
        <w:t>十二、</w:t>
      </w:r>
      <w:bookmarkEnd w:id="73"/>
      <w:bookmarkStart w:id="74" w:name="_Toc15396631"/>
      <w:r>
        <w:rPr>
          <w:rFonts w:eastAsia="仿宋_GB2312"/>
          <w:sz w:val="32"/>
          <w:szCs w:val="32"/>
        </w:rPr>
        <w:t>国有资本经营预算财政拨款支出决算表（此表无数据）</w:t>
      </w:r>
    </w:p>
    <w:p>
      <w:pPr>
        <w:pStyle w:val="14"/>
        <w:adjustRightInd w:val="0"/>
        <w:snapToGrid w:val="0"/>
        <w:spacing w:line="560" w:lineRule="exact"/>
        <w:jc w:val="left"/>
        <w:rPr>
          <w:rFonts w:eastAsia="仿宋_GB2312"/>
        </w:rPr>
      </w:pPr>
      <w:r>
        <w:rPr>
          <w:rFonts w:eastAsia="仿宋_GB2312"/>
          <w:sz w:val="32"/>
          <w:szCs w:val="32"/>
        </w:rPr>
        <w:t>十三、</w:t>
      </w:r>
      <w:bookmarkEnd w:id="74"/>
      <w:r>
        <w:rPr>
          <w:rFonts w:eastAsia="仿宋_GB2312"/>
          <w:sz w:val="32"/>
          <w:szCs w:val="32"/>
        </w:rPr>
        <w:t>财政拨款“三公”经费支出决算表</w:t>
      </w:r>
    </w:p>
    <w:sectPr>
      <w:footerReference r:id="rId12" w:type="first"/>
      <w:footerReference r:id="rId11"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altName w:val="Nimbus Roman No9 L"/>
    <w:panose1 w:val="020B0604020202020204"/>
    <w:charset w:val="00"/>
    <w:family w:val="swiss"/>
    <w:pitch w:val="default"/>
    <w:sig w:usb0="00000000" w:usb1="00000000" w:usb2="00000000" w:usb3="00000000" w:csb0="000001FF"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pict>
        <v:shape id="_x0000_s4103" o:spid="_x0000_s4103" o:spt="202" type="#_x0000_t202" style="position:absolute;left:0pt;margin-top:0pt;height:144pt;width:144pt;mso-position-horizontal:outside;mso-position-horizontal-relative:margin;mso-wrap-style:none;z-index:251667456;mso-width-relative:page;mso-height-relative:page;" filled="f" stroked="f" coordsize="21600,21600">
          <v:path/>
          <v:fill on="f" focussize="0,0"/>
          <v:stroke on="f" joinstyle="miter"/>
          <v:imagedata o:title=""/>
          <o:lock v:ext="edit"/>
          <v:textbox inset="0mm,0mm,0mm,0mm" style="mso-fit-shape-to-text:t;">
            <w:txbxContent>
              <w:p>
                <w:pPr>
                  <w:pStyle w:val="11"/>
                </w:pPr>
                <w:r>
                  <w:rPr>
                    <w:rFonts w:hint="eastAsia" w:ascii="宋体" w:hAnsi="宋体" w:cs="宋体"/>
                    <w:sz w:val="24"/>
                    <w:szCs w:val="24"/>
                  </w:rPr>
                  <w:t>—</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hint="eastAsia" w:ascii="宋体" w:hAnsi="宋体" w:cs="宋体"/>
                    <w:sz w:val="24"/>
                    <w:szCs w:val="24"/>
                  </w:rPr>
                  <w:t xml:space="preserve"> —</w:t>
                </w:r>
              </w:p>
            </w:txbxContent>
          </v:textbox>
        </v:shape>
      </w:pict>
    </w:r>
  </w:p>
  <w:p>
    <w:pPr>
      <w:pStyle w:val="11"/>
      <w:tabs>
        <w:tab w:val="clear" w:pos="4153"/>
      </w:tabs>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pict>
        <v:shape id="文本框 6" o:spid="_x0000_s4097" o:spt="202" type="#_x0000_t202" style="position:absolute;left:0pt;margin-top:0pt;height:144pt;width:144pt;mso-position-horizontal:center;mso-position-horizontal-relative:margin;mso-wrap-style:none;z-index:25166643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3lYQIAAAoFAAAOAAAAZHJzL2Uyb0RvYy54bWysVM1uEzEQviPxDpbvdNMiqijKpgqtipAq&#10;WlEQZ8drNytsj2W72Q0PAG/AiUvvPFefg8/ebIoKlyIu3lnP7/fNjOcnvTVso0JsydX88GDCmXKS&#10;mtbd1Pzjh/MXU85iEq4Rhpyq+VZFfrJ4/mze+Zk6ojWZRgWGIC7OOl/zdUp+VlVRrpUV8YC8clBq&#10;ClYk/IabqgmiQ3RrqqPJ5LjqKDQ+kFQx4vZsUPJFia+1kulS66gSMzVHbamcoZyrfFaLuZjdBOHX&#10;rdyVIf6hCitah6T7UGciCXYb2j9C2VYGiqTTgSRbkdatVAUD0BxOHqG5XguvChaQE/2epvj/wsp3&#10;m6vA2qbmx5w5YdGi++/f7n/8vL/7yo4zPZ2PM1hde9il/jX1aPN4H3GZUfc62PwFHgY9iN7uyVV9&#10;YjI7TY+m0wlUErrxB/GrB3cfYnqjyLIs1Dyge4VUsbmIaTAdTXI2R+etMaWDxrEOEF6+mhSHvQbB&#10;jUOODGIotkhpa1SOYNx7pYG+1JwvytypUxPYRmBihJTKpQK3RIJ1ttJI+xTHnX12VWUmn+K89yiZ&#10;yaW9s20dhYL3UdnN57FkPdiPDAy4MwWpX/W75q6o2aK3gYbliF6et+D/QsR0JQK2AT3DhqdLHNoQ&#10;eKadxNmawpe/3Wd7DCm0nHXYrpo7rD9n5q3D8OZFHIUwCqtRcLf2lED+IV4OL4sIh5DMKOpA9hPW&#10;fplzQCWcRKaap1E8TcOG49mQarksRlg3L9KFu/Yyhy7N9svbhBkqo5VJGZjYkYWFK8O5exzyRv/+&#10;X6wenrDFL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MCGPeV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2CBD"/>
    <w:rsid w:val="0002549F"/>
    <w:rsid w:val="00044CCD"/>
    <w:rsid w:val="000468DB"/>
    <w:rsid w:val="00052FC4"/>
    <w:rsid w:val="00054F8A"/>
    <w:rsid w:val="0006487A"/>
    <w:rsid w:val="00065F8F"/>
    <w:rsid w:val="00070A43"/>
    <w:rsid w:val="000768F2"/>
    <w:rsid w:val="0009184B"/>
    <w:rsid w:val="00094236"/>
    <w:rsid w:val="0009593C"/>
    <w:rsid w:val="00097322"/>
    <w:rsid w:val="00097F34"/>
    <w:rsid w:val="000A6A92"/>
    <w:rsid w:val="000B047F"/>
    <w:rsid w:val="000B5923"/>
    <w:rsid w:val="000B5A48"/>
    <w:rsid w:val="000B6FF3"/>
    <w:rsid w:val="000C1F8A"/>
    <w:rsid w:val="000C3467"/>
    <w:rsid w:val="000C3CA6"/>
    <w:rsid w:val="000D1267"/>
    <w:rsid w:val="000D135E"/>
    <w:rsid w:val="000D1D50"/>
    <w:rsid w:val="000D5782"/>
    <w:rsid w:val="000E6613"/>
    <w:rsid w:val="000E7119"/>
    <w:rsid w:val="001023FC"/>
    <w:rsid w:val="00114E9B"/>
    <w:rsid w:val="00135F2D"/>
    <w:rsid w:val="00137B33"/>
    <w:rsid w:val="00142216"/>
    <w:rsid w:val="00144D6A"/>
    <w:rsid w:val="00145397"/>
    <w:rsid w:val="0014729F"/>
    <w:rsid w:val="00157BAB"/>
    <w:rsid w:val="00161ADD"/>
    <w:rsid w:val="00163351"/>
    <w:rsid w:val="001654D1"/>
    <w:rsid w:val="00174323"/>
    <w:rsid w:val="00174518"/>
    <w:rsid w:val="00175827"/>
    <w:rsid w:val="00177953"/>
    <w:rsid w:val="0018106D"/>
    <w:rsid w:val="001877A7"/>
    <w:rsid w:val="00191536"/>
    <w:rsid w:val="00196687"/>
    <w:rsid w:val="001A207C"/>
    <w:rsid w:val="001A22F8"/>
    <w:rsid w:val="001A65FE"/>
    <w:rsid w:val="001C0962"/>
    <w:rsid w:val="001D2617"/>
    <w:rsid w:val="001D7531"/>
    <w:rsid w:val="001E3D5E"/>
    <w:rsid w:val="001E737D"/>
    <w:rsid w:val="001F0592"/>
    <w:rsid w:val="001F501E"/>
    <w:rsid w:val="001F7506"/>
    <w:rsid w:val="002006CD"/>
    <w:rsid w:val="002006EF"/>
    <w:rsid w:val="00202B36"/>
    <w:rsid w:val="00204B7A"/>
    <w:rsid w:val="00204CDE"/>
    <w:rsid w:val="0021101A"/>
    <w:rsid w:val="00212755"/>
    <w:rsid w:val="002130FA"/>
    <w:rsid w:val="00220536"/>
    <w:rsid w:val="0022369C"/>
    <w:rsid w:val="00226344"/>
    <w:rsid w:val="00230697"/>
    <w:rsid w:val="00235629"/>
    <w:rsid w:val="00240D9C"/>
    <w:rsid w:val="00247932"/>
    <w:rsid w:val="0025702F"/>
    <w:rsid w:val="00260C38"/>
    <w:rsid w:val="002610D2"/>
    <w:rsid w:val="002616C0"/>
    <w:rsid w:val="002651AA"/>
    <w:rsid w:val="00265372"/>
    <w:rsid w:val="002662AA"/>
    <w:rsid w:val="00280496"/>
    <w:rsid w:val="00282E50"/>
    <w:rsid w:val="00286456"/>
    <w:rsid w:val="0029355D"/>
    <w:rsid w:val="00294DC9"/>
    <w:rsid w:val="00295495"/>
    <w:rsid w:val="002A31DE"/>
    <w:rsid w:val="002B255D"/>
    <w:rsid w:val="002B2613"/>
    <w:rsid w:val="002D6D05"/>
    <w:rsid w:val="002F1818"/>
    <w:rsid w:val="002F4F29"/>
    <w:rsid w:val="002F52D5"/>
    <w:rsid w:val="002F567B"/>
    <w:rsid w:val="0030039F"/>
    <w:rsid w:val="00304803"/>
    <w:rsid w:val="003171D4"/>
    <w:rsid w:val="003216A9"/>
    <w:rsid w:val="00334134"/>
    <w:rsid w:val="00335A74"/>
    <w:rsid w:val="00351740"/>
    <w:rsid w:val="00364C78"/>
    <w:rsid w:val="0036561B"/>
    <w:rsid w:val="00366425"/>
    <w:rsid w:val="0037013F"/>
    <w:rsid w:val="00372D61"/>
    <w:rsid w:val="00380C92"/>
    <w:rsid w:val="003A167B"/>
    <w:rsid w:val="003A484F"/>
    <w:rsid w:val="003A4883"/>
    <w:rsid w:val="003A690C"/>
    <w:rsid w:val="003A7468"/>
    <w:rsid w:val="003A7528"/>
    <w:rsid w:val="003B0BE0"/>
    <w:rsid w:val="003B0C1B"/>
    <w:rsid w:val="003B688C"/>
    <w:rsid w:val="003C0291"/>
    <w:rsid w:val="003C39AE"/>
    <w:rsid w:val="003C4E01"/>
    <w:rsid w:val="003C72B4"/>
    <w:rsid w:val="003C7B60"/>
    <w:rsid w:val="003D0C0F"/>
    <w:rsid w:val="003D1FB2"/>
    <w:rsid w:val="003D20B8"/>
    <w:rsid w:val="003D66DA"/>
    <w:rsid w:val="003E1310"/>
    <w:rsid w:val="003E30B4"/>
    <w:rsid w:val="003E5D59"/>
    <w:rsid w:val="003E6F55"/>
    <w:rsid w:val="00400FA3"/>
    <w:rsid w:val="00403AC1"/>
    <w:rsid w:val="00406254"/>
    <w:rsid w:val="004223DE"/>
    <w:rsid w:val="00423E47"/>
    <w:rsid w:val="00434489"/>
    <w:rsid w:val="00437085"/>
    <w:rsid w:val="00443880"/>
    <w:rsid w:val="004464F4"/>
    <w:rsid w:val="00471401"/>
    <w:rsid w:val="00473F31"/>
    <w:rsid w:val="0047469F"/>
    <w:rsid w:val="00477E99"/>
    <w:rsid w:val="0048263A"/>
    <w:rsid w:val="004877FF"/>
    <w:rsid w:val="00487E5D"/>
    <w:rsid w:val="00496541"/>
    <w:rsid w:val="004A711F"/>
    <w:rsid w:val="004B199D"/>
    <w:rsid w:val="004B4690"/>
    <w:rsid w:val="004B4770"/>
    <w:rsid w:val="004C60B6"/>
    <w:rsid w:val="004C77A0"/>
    <w:rsid w:val="004D4619"/>
    <w:rsid w:val="004E0A2D"/>
    <w:rsid w:val="004E206B"/>
    <w:rsid w:val="004E6DF7"/>
    <w:rsid w:val="004F0FBD"/>
    <w:rsid w:val="004F1E9E"/>
    <w:rsid w:val="004F6096"/>
    <w:rsid w:val="00500791"/>
    <w:rsid w:val="00505A47"/>
    <w:rsid w:val="00512FDA"/>
    <w:rsid w:val="00520DA0"/>
    <w:rsid w:val="005565F7"/>
    <w:rsid w:val="005664BB"/>
    <w:rsid w:val="00566FFA"/>
    <w:rsid w:val="0057481D"/>
    <w:rsid w:val="00575C6A"/>
    <w:rsid w:val="0058486E"/>
    <w:rsid w:val="0058501A"/>
    <w:rsid w:val="00585B33"/>
    <w:rsid w:val="0059014D"/>
    <w:rsid w:val="005927DC"/>
    <w:rsid w:val="005B2521"/>
    <w:rsid w:val="005B3ED9"/>
    <w:rsid w:val="005B5C64"/>
    <w:rsid w:val="005C5337"/>
    <w:rsid w:val="005C682A"/>
    <w:rsid w:val="005C6BD0"/>
    <w:rsid w:val="005D1C8B"/>
    <w:rsid w:val="005D468D"/>
    <w:rsid w:val="005D5CED"/>
    <w:rsid w:val="005E1C80"/>
    <w:rsid w:val="005F1A4C"/>
    <w:rsid w:val="005F450F"/>
    <w:rsid w:val="00602D36"/>
    <w:rsid w:val="00605688"/>
    <w:rsid w:val="006070AF"/>
    <w:rsid w:val="00607E6C"/>
    <w:rsid w:val="006101B1"/>
    <w:rsid w:val="0061294A"/>
    <w:rsid w:val="00614E44"/>
    <w:rsid w:val="0062270A"/>
    <w:rsid w:val="00622830"/>
    <w:rsid w:val="00623DA0"/>
    <w:rsid w:val="00630AEF"/>
    <w:rsid w:val="006325F8"/>
    <w:rsid w:val="00633463"/>
    <w:rsid w:val="00634C9A"/>
    <w:rsid w:val="0063741F"/>
    <w:rsid w:val="006440E4"/>
    <w:rsid w:val="00656B91"/>
    <w:rsid w:val="0066343B"/>
    <w:rsid w:val="00664777"/>
    <w:rsid w:val="0066550F"/>
    <w:rsid w:val="006725BD"/>
    <w:rsid w:val="006748A4"/>
    <w:rsid w:val="00681A31"/>
    <w:rsid w:val="00683E73"/>
    <w:rsid w:val="006A3141"/>
    <w:rsid w:val="006A3FCC"/>
    <w:rsid w:val="006A5E34"/>
    <w:rsid w:val="006B2422"/>
    <w:rsid w:val="006B2B9A"/>
    <w:rsid w:val="006B4BA2"/>
    <w:rsid w:val="006B4D76"/>
    <w:rsid w:val="006C1937"/>
    <w:rsid w:val="006C40A3"/>
    <w:rsid w:val="006E3F89"/>
    <w:rsid w:val="006F020C"/>
    <w:rsid w:val="006F1A1F"/>
    <w:rsid w:val="00711240"/>
    <w:rsid w:val="007127B7"/>
    <w:rsid w:val="00715178"/>
    <w:rsid w:val="0071798E"/>
    <w:rsid w:val="00727BF6"/>
    <w:rsid w:val="007416B6"/>
    <w:rsid w:val="00744FDB"/>
    <w:rsid w:val="00746F48"/>
    <w:rsid w:val="0075404D"/>
    <w:rsid w:val="00755962"/>
    <w:rsid w:val="0076182A"/>
    <w:rsid w:val="00767B7E"/>
    <w:rsid w:val="007770C3"/>
    <w:rsid w:val="00780E60"/>
    <w:rsid w:val="00784D24"/>
    <w:rsid w:val="00785FBA"/>
    <w:rsid w:val="00786E4A"/>
    <w:rsid w:val="007875EB"/>
    <w:rsid w:val="0079426B"/>
    <w:rsid w:val="007A0C51"/>
    <w:rsid w:val="007A40E2"/>
    <w:rsid w:val="007A5609"/>
    <w:rsid w:val="007C05EA"/>
    <w:rsid w:val="007C440E"/>
    <w:rsid w:val="007D1682"/>
    <w:rsid w:val="007D312A"/>
    <w:rsid w:val="007D3F19"/>
    <w:rsid w:val="007E18E9"/>
    <w:rsid w:val="007E23B0"/>
    <w:rsid w:val="007E23E5"/>
    <w:rsid w:val="007E788E"/>
    <w:rsid w:val="007F138B"/>
    <w:rsid w:val="007F18F9"/>
    <w:rsid w:val="007F1991"/>
    <w:rsid w:val="007F2C2F"/>
    <w:rsid w:val="007F55FC"/>
    <w:rsid w:val="007F5665"/>
    <w:rsid w:val="007F5BBA"/>
    <w:rsid w:val="00800112"/>
    <w:rsid w:val="00802F7A"/>
    <w:rsid w:val="00813348"/>
    <w:rsid w:val="008253BB"/>
    <w:rsid w:val="0083706E"/>
    <w:rsid w:val="008408F6"/>
    <w:rsid w:val="008423A5"/>
    <w:rsid w:val="00843679"/>
    <w:rsid w:val="0084563D"/>
    <w:rsid w:val="00850625"/>
    <w:rsid w:val="00853718"/>
    <w:rsid w:val="00855221"/>
    <w:rsid w:val="00860645"/>
    <w:rsid w:val="008633AB"/>
    <w:rsid w:val="008675CC"/>
    <w:rsid w:val="00871F71"/>
    <w:rsid w:val="00872FD8"/>
    <w:rsid w:val="008830C1"/>
    <w:rsid w:val="00885AF4"/>
    <w:rsid w:val="008939CD"/>
    <w:rsid w:val="00893D33"/>
    <w:rsid w:val="008B0C6E"/>
    <w:rsid w:val="008B406C"/>
    <w:rsid w:val="008B768C"/>
    <w:rsid w:val="008C4DB1"/>
    <w:rsid w:val="008C4EAF"/>
    <w:rsid w:val="008C5176"/>
    <w:rsid w:val="008C7FD0"/>
    <w:rsid w:val="008D6C81"/>
    <w:rsid w:val="008E1DE7"/>
    <w:rsid w:val="008E707C"/>
    <w:rsid w:val="00900B08"/>
    <w:rsid w:val="00902155"/>
    <w:rsid w:val="00902FA3"/>
    <w:rsid w:val="009074E4"/>
    <w:rsid w:val="00912061"/>
    <w:rsid w:val="009144B7"/>
    <w:rsid w:val="00923564"/>
    <w:rsid w:val="0092392E"/>
    <w:rsid w:val="009315F9"/>
    <w:rsid w:val="00933499"/>
    <w:rsid w:val="00934730"/>
    <w:rsid w:val="00935C98"/>
    <w:rsid w:val="00946945"/>
    <w:rsid w:val="00951248"/>
    <w:rsid w:val="0095152F"/>
    <w:rsid w:val="00954C49"/>
    <w:rsid w:val="00955E37"/>
    <w:rsid w:val="0097099F"/>
    <w:rsid w:val="00971997"/>
    <w:rsid w:val="00971FFC"/>
    <w:rsid w:val="009761B5"/>
    <w:rsid w:val="0098660A"/>
    <w:rsid w:val="00987D95"/>
    <w:rsid w:val="009931C3"/>
    <w:rsid w:val="009A1776"/>
    <w:rsid w:val="009B2C43"/>
    <w:rsid w:val="009B4EAE"/>
    <w:rsid w:val="009B7573"/>
    <w:rsid w:val="009C0B30"/>
    <w:rsid w:val="009C22F4"/>
    <w:rsid w:val="009C2A4B"/>
    <w:rsid w:val="009C2E98"/>
    <w:rsid w:val="009D3447"/>
    <w:rsid w:val="009D4711"/>
    <w:rsid w:val="009E1130"/>
    <w:rsid w:val="009E227E"/>
    <w:rsid w:val="009F1185"/>
    <w:rsid w:val="009F18CD"/>
    <w:rsid w:val="009F2A13"/>
    <w:rsid w:val="009F336D"/>
    <w:rsid w:val="009F7527"/>
    <w:rsid w:val="00A04EB0"/>
    <w:rsid w:val="00A13CC1"/>
    <w:rsid w:val="00A16847"/>
    <w:rsid w:val="00A2107A"/>
    <w:rsid w:val="00A237D8"/>
    <w:rsid w:val="00A268C4"/>
    <w:rsid w:val="00A307CD"/>
    <w:rsid w:val="00A30A08"/>
    <w:rsid w:val="00A331C8"/>
    <w:rsid w:val="00A40A00"/>
    <w:rsid w:val="00A4142F"/>
    <w:rsid w:val="00A422EB"/>
    <w:rsid w:val="00A42E5A"/>
    <w:rsid w:val="00A45BB7"/>
    <w:rsid w:val="00A56DF2"/>
    <w:rsid w:val="00A56E6E"/>
    <w:rsid w:val="00A654D7"/>
    <w:rsid w:val="00A67AB5"/>
    <w:rsid w:val="00A733B2"/>
    <w:rsid w:val="00A741C2"/>
    <w:rsid w:val="00A77A4A"/>
    <w:rsid w:val="00A91760"/>
    <w:rsid w:val="00A93B00"/>
    <w:rsid w:val="00A93C21"/>
    <w:rsid w:val="00AA63D8"/>
    <w:rsid w:val="00AB462D"/>
    <w:rsid w:val="00AB507D"/>
    <w:rsid w:val="00AB598C"/>
    <w:rsid w:val="00AB64C9"/>
    <w:rsid w:val="00AB723B"/>
    <w:rsid w:val="00AC3C6A"/>
    <w:rsid w:val="00AC5C8F"/>
    <w:rsid w:val="00AD11C8"/>
    <w:rsid w:val="00AD20B1"/>
    <w:rsid w:val="00AD4904"/>
    <w:rsid w:val="00AD5620"/>
    <w:rsid w:val="00AD656B"/>
    <w:rsid w:val="00AD75E0"/>
    <w:rsid w:val="00AD7C1B"/>
    <w:rsid w:val="00AD7DFC"/>
    <w:rsid w:val="00AE16BA"/>
    <w:rsid w:val="00AE1EBE"/>
    <w:rsid w:val="00AE2D3C"/>
    <w:rsid w:val="00AE39CB"/>
    <w:rsid w:val="00AE52C5"/>
    <w:rsid w:val="00B03C9D"/>
    <w:rsid w:val="00B05EA2"/>
    <w:rsid w:val="00B060AE"/>
    <w:rsid w:val="00B0750A"/>
    <w:rsid w:val="00B07C37"/>
    <w:rsid w:val="00B10517"/>
    <w:rsid w:val="00B12B3F"/>
    <w:rsid w:val="00B13419"/>
    <w:rsid w:val="00B14E76"/>
    <w:rsid w:val="00B161B8"/>
    <w:rsid w:val="00B2048C"/>
    <w:rsid w:val="00B234E9"/>
    <w:rsid w:val="00B310B9"/>
    <w:rsid w:val="00B35F3F"/>
    <w:rsid w:val="00B36CBB"/>
    <w:rsid w:val="00B42536"/>
    <w:rsid w:val="00B425E0"/>
    <w:rsid w:val="00B440AA"/>
    <w:rsid w:val="00B44B70"/>
    <w:rsid w:val="00B519E0"/>
    <w:rsid w:val="00B53C56"/>
    <w:rsid w:val="00B54C38"/>
    <w:rsid w:val="00B57DAF"/>
    <w:rsid w:val="00B77EA6"/>
    <w:rsid w:val="00B81598"/>
    <w:rsid w:val="00B841F1"/>
    <w:rsid w:val="00B944D6"/>
    <w:rsid w:val="00B96569"/>
    <w:rsid w:val="00B969A4"/>
    <w:rsid w:val="00BB4DF0"/>
    <w:rsid w:val="00BC289F"/>
    <w:rsid w:val="00BC2D50"/>
    <w:rsid w:val="00BC5361"/>
    <w:rsid w:val="00BC5460"/>
    <w:rsid w:val="00BC6B50"/>
    <w:rsid w:val="00BD0E25"/>
    <w:rsid w:val="00BF2CC2"/>
    <w:rsid w:val="00BF4F26"/>
    <w:rsid w:val="00BF5BD6"/>
    <w:rsid w:val="00C01084"/>
    <w:rsid w:val="00C03E31"/>
    <w:rsid w:val="00C17204"/>
    <w:rsid w:val="00C227AD"/>
    <w:rsid w:val="00C33E72"/>
    <w:rsid w:val="00C354B2"/>
    <w:rsid w:val="00C35554"/>
    <w:rsid w:val="00C42709"/>
    <w:rsid w:val="00C523BE"/>
    <w:rsid w:val="00C533CC"/>
    <w:rsid w:val="00C5751C"/>
    <w:rsid w:val="00C61BFC"/>
    <w:rsid w:val="00C62B85"/>
    <w:rsid w:val="00C65438"/>
    <w:rsid w:val="00C65D03"/>
    <w:rsid w:val="00C82AC6"/>
    <w:rsid w:val="00C8673F"/>
    <w:rsid w:val="00C87FD8"/>
    <w:rsid w:val="00C91381"/>
    <w:rsid w:val="00C91CBB"/>
    <w:rsid w:val="00CA56B7"/>
    <w:rsid w:val="00CB4E70"/>
    <w:rsid w:val="00CB7F60"/>
    <w:rsid w:val="00CC09B6"/>
    <w:rsid w:val="00CC666F"/>
    <w:rsid w:val="00CD1E3F"/>
    <w:rsid w:val="00CE44F6"/>
    <w:rsid w:val="00CE49DA"/>
    <w:rsid w:val="00CE7B61"/>
    <w:rsid w:val="00D00095"/>
    <w:rsid w:val="00D106C6"/>
    <w:rsid w:val="00D114F0"/>
    <w:rsid w:val="00D20620"/>
    <w:rsid w:val="00D21059"/>
    <w:rsid w:val="00D254F7"/>
    <w:rsid w:val="00D26091"/>
    <w:rsid w:val="00D2685C"/>
    <w:rsid w:val="00D34E7C"/>
    <w:rsid w:val="00D35489"/>
    <w:rsid w:val="00D36AFE"/>
    <w:rsid w:val="00D43BF5"/>
    <w:rsid w:val="00D51247"/>
    <w:rsid w:val="00D51276"/>
    <w:rsid w:val="00D63E7F"/>
    <w:rsid w:val="00D6511B"/>
    <w:rsid w:val="00D65F68"/>
    <w:rsid w:val="00D66E6C"/>
    <w:rsid w:val="00D7035F"/>
    <w:rsid w:val="00D86DAD"/>
    <w:rsid w:val="00D94F51"/>
    <w:rsid w:val="00DA634F"/>
    <w:rsid w:val="00DA65AC"/>
    <w:rsid w:val="00DB1913"/>
    <w:rsid w:val="00DB3744"/>
    <w:rsid w:val="00DC410D"/>
    <w:rsid w:val="00DC5A81"/>
    <w:rsid w:val="00DC68CA"/>
    <w:rsid w:val="00DC7945"/>
    <w:rsid w:val="00DC7CBA"/>
    <w:rsid w:val="00DD73B7"/>
    <w:rsid w:val="00DF28A8"/>
    <w:rsid w:val="00DF28BC"/>
    <w:rsid w:val="00DF34B9"/>
    <w:rsid w:val="00DF6F21"/>
    <w:rsid w:val="00E01053"/>
    <w:rsid w:val="00E024BB"/>
    <w:rsid w:val="00E07ACF"/>
    <w:rsid w:val="00E2734C"/>
    <w:rsid w:val="00E32648"/>
    <w:rsid w:val="00E331A1"/>
    <w:rsid w:val="00E33202"/>
    <w:rsid w:val="00E336A9"/>
    <w:rsid w:val="00E472B1"/>
    <w:rsid w:val="00E4785E"/>
    <w:rsid w:val="00E50624"/>
    <w:rsid w:val="00E52CE6"/>
    <w:rsid w:val="00E536B5"/>
    <w:rsid w:val="00E54336"/>
    <w:rsid w:val="00E54633"/>
    <w:rsid w:val="00E568DF"/>
    <w:rsid w:val="00E61909"/>
    <w:rsid w:val="00E61BE0"/>
    <w:rsid w:val="00E64269"/>
    <w:rsid w:val="00E82267"/>
    <w:rsid w:val="00E83B05"/>
    <w:rsid w:val="00E853CE"/>
    <w:rsid w:val="00E85AD6"/>
    <w:rsid w:val="00E867B6"/>
    <w:rsid w:val="00E871D0"/>
    <w:rsid w:val="00E93CF2"/>
    <w:rsid w:val="00EA010F"/>
    <w:rsid w:val="00EA5B55"/>
    <w:rsid w:val="00EB06AD"/>
    <w:rsid w:val="00EB6C98"/>
    <w:rsid w:val="00ED1B63"/>
    <w:rsid w:val="00ED3C1F"/>
    <w:rsid w:val="00ED4085"/>
    <w:rsid w:val="00ED420E"/>
    <w:rsid w:val="00ED6FBE"/>
    <w:rsid w:val="00EE0AC8"/>
    <w:rsid w:val="00EE208C"/>
    <w:rsid w:val="00EE2F57"/>
    <w:rsid w:val="00EF4C34"/>
    <w:rsid w:val="00EF77C6"/>
    <w:rsid w:val="00F05438"/>
    <w:rsid w:val="00F05C3D"/>
    <w:rsid w:val="00F1075A"/>
    <w:rsid w:val="00F129EB"/>
    <w:rsid w:val="00F1361C"/>
    <w:rsid w:val="00F156F0"/>
    <w:rsid w:val="00F160C7"/>
    <w:rsid w:val="00F2408F"/>
    <w:rsid w:val="00F240E9"/>
    <w:rsid w:val="00F36D8F"/>
    <w:rsid w:val="00F417B1"/>
    <w:rsid w:val="00F45853"/>
    <w:rsid w:val="00F602DF"/>
    <w:rsid w:val="00F61438"/>
    <w:rsid w:val="00F65F90"/>
    <w:rsid w:val="00F754A1"/>
    <w:rsid w:val="00F81FD9"/>
    <w:rsid w:val="00F83EF0"/>
    <w:rsid w:val="00F841AA"/>
    <w:rsid w:val="00F84A94"/>
    <w:rsid w:val="00F87E96"/>
    <w:rsid w:val="00F93001"/>
    <w:rsid w:val="00FA23E8"/>
    <w:rsid w:val="00FC7896"/>
    <w:rsid w:val="00FD3CC1"/>
    <w:rsid w:val="00FD40F8"/>
    <w:rsid w:val="00FF1E02"/>
    <w:rsid w:val="00FF30B4"/>
    <w:rsid w:val="015975B8"/>
    <w:rsid w:val="02317B1B"/>
    <w:rsid w:val="02FEBE30"/>
    <w:rsid w:val="032509B8"/>
    <w:rsid w:val="061E35DE"/>
    <w:rsid w:val="066E0107"/>
    <w:rsid w:val="07996F6E"/>
    <w:rsid w:val="07DFD8BA"/>
    <w:rsid w:val="08DB07E4"/>
    <w:rsid w:val="09867E8F"/>
    <w:rsid w:val="0A2032A3"/>
    <w:rsid w:val="0C6C4794"/>
    <w:rsid w:val="0CA8290A"/>
    <w:rsid w:val="0D35B1ED"/>
    <w:rsid w:val="0DE07E2B"/>
    <w:rsid w:val="0F98263C"/>
    <w:rsid w:val="101860EC"/>
    <w:rsid w:val="10C055FF"/>
    <w:rsid w:val="11772AA4"/>
    <w:rsid w:val="118107EC"/>
    <w:rsid w:val="13D50BC4"/>
    <w:rsid w:val="14022904"/>
    <w:rsid w:val="152F2A07"/>
    <w:rsid w:val="165E0673"/>
    <w:rsid w:val="16BB723D"/>
    <w:rsid w:val="186504BB"/>
    <w:rsid w:val="1938089F"/>
    <w:rsid w:val="19A445FC"/>
    <w:rsid w:val="1B7D550C"/>
    <w:rsid w:val="1BE8440E"/>
    <w:rsid w:val="1D155CEE"/>
    <w:rsid w:val="1E740ACF"/>
    <w:rsid w:val="1FF35744"/>
    <w:rsid w:val="1FF6BC77"/>
    <w:rsid w:val="21962A9E"/>
    <w:rsid w:val="21AE7C77"/>
    <w:rsid w:val="22BC3C41"/>
    <w:rsid w:val="23860B96"/>
    <w:rsid w:val="240371BF"/>
    <w:rsid w:val="260F557C"/>
    <w:rsid w:val="281408E2"/>
    <w:rsid w:val="29FD04D3"/>
    <w:rsid w:val="2BFF7BC6"/>
    <w:rsid w:val="2C8A61B5"/>
    <w:rsid w:val="2D2E01CF"/>
    <w:rsid w:val="2DF04E50"/>
    <w:rsid w:val="2E9545B0"/>
    <w:rsid w:val="2F040D46"/>
    <w:rsid w:val="2FAE5751"/>
    <w:rsid w:val="2FB1A395"/>
    <w:rsid w:val="2FD9A7D8"/>
    <w:rsid w:val="319F7F4E"/>
    <w:rsid w:val="321B2544"/>
    <w:rsid w:val="3304709D"/>
    <w:rsid w:val="34281836"/>
    <w:rsid w:val="349D6851"/>
    <w:rsid w:val="35BA6CAF"/>
    <w:rsid w:val="364D14C1"/>
    <w:rsid w:val="36AA5135"/>
    <w:rsid w:val="36BE0DA7"/>
    <w:rsid w:val="376B6AA6"/>
    <w:rsid w:val="376D39B2"/>
    <w:rsid w:val="37E16F03"/>
    <w:rsid w:val="37F53A3B"/>
    <w:rsid w:val="389B6C89"/>
    <w:rsid w:val="38D469F0"/>
    <w:rsid w:val="39627CCD"/>
    <w:rsid w:val="397BAF1F"/>
    <w:rsid w:val="3AB79AF3"/>
    <w:rsid w:val="3B7EF35A"/>
    <w:rsid w:val="3B9FDB6C"/>
    <w:rsid w:val="3BF5BC2F"/>
    <w:rsid w:val="3CEBA265"/>
    <w:rsid w:val="3D98207C"/>
    <w:rsid w:val="3D9B0D99"/>
    <w:rsid w:val="3DEE7CF3"/>
    <w:rsid w:val="3DF02244"/>
    <w:rsid w:val="3E78745D"/>
    <w:rsid w:val="3FF4CAE0"/>
    <w:rsid w:val="3FF7B227"/>
    <w:rsid w:val="40E54C45"/>
    <w:rsid w:val="43A407DF"/>
    <w:rsid w:val="44515BEA"/>
    <w:rsid w:val="44E268DA"/>
    <w:rsid w:val="453F7E5B"/>
    <w:rsid w:val="456004C2"/>
    <w:rsid w:val="486A6C7A"/>
    <w:rsid w:val="49176D9B"/>
    <w:rsid w:val="4A627F82"/>
    <w:rsid w:val="4B0E749A"/>
    <w:rsid w:val="4B4F25DA"/>
    <w:rsid w:val="4BDA0CFB"/>
    <w:rsid w:val="4BE068DB"/>
    <w:rsid w:val="4D3C0CCC"/>
    <w:rsid w:val="4D577224"/>
    <w:rsid w:val="4DBF1CEB"/>
    <w:rsid w:val="4EAB630A"/>
    <w:rsid w:val="4ECE2238"/>
    <w:rsid w:val="4F833267"/>
    <w:rsid w:val="4FE9BD67"/>
    <w:rsid w:val="4FFB052F"/>
    <w:rsid w:val="53083A92"/>
    <w:rsid w:val="537E6D0A"/>
    <w:rsid w:val="53AF27A2"/>
    <w:rsid w:val="53F74C96"/>
    <w:rsid w:val="56E47B74"/>
    <w:rsid w:val="57BD3DD4"/>
    <w:rsid w:val="58BE45A5"/>
    <w:rsid w:val="5AF92295"/>
    <w:rsid w:val="5BDD79E6"/>
    <w:rsid w:val="5BF561CA"/>
    <w:rsid w:val="5BFF5DFC"/>
    <w:rsid w:val="5CD71FC4"/>
    <w:rsid w:val="5D1F11B5"/>
    <w:rsid w:val="5DAE1B18"/>
    <w:rsid w:val="5DE7D9E5"/>
    <w:rsid w:val="5ECEC941"/>
    <w:rsid w:val="5F493CB7"/>
    <w:rsid w:val="5FBF9FF3"/>
    <w:rsid w:val="5FCD4E2C"/>
    <w:rsid w:val="5FD15F49"/>
    <w:rsid w:val="5FEF394A"/>
    <w:rsid w:val="5FF67715"/>
    <w:rsid w:val="62BF3928"/>
    <w:rsid w:val="62CB111A"/>
    <w:rsid w:val="647F5392"/>
    <w:rsid w:val="664B1D71"/>
    <w:rsid w:val="67AA3209"/>
    <w:rsid w:val="681C4F0D"/>
    <w:rsid w:val="69046D0F"/>
    <w:rsid w:val="698D0931"/>
    <w:rsid w:val="6A993CED"/>
    <w:rsid w:val="6B053271"/>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BBD01D"/>
    <w:rsid w:val="74ED5379"/>
    <w:rsid w:val="74FC2395"/>
    <w:rsid w:val="75DEEEC2"/>
    <w:rsid w:val="76E3355F"/>
    <w:rsid w:val="76FF5125"/>
    <w:rsid w:val="776F6FFA"/>
    <w:rsid w:val="778769C8"/>
    <w:rsid w:val="77DC22F5"/>
    <w:rsid w:val="79086DAD"/>
    <w:rsid w:val="79974F09"/>
    <w:rsid w:val="79D7FD79"/>
    <w:rsid w:val="79EE5BA4"/>
    <w:rsid w:val="7A894339"/>
    <w:rsid w:val="7AFF7572"/>
    <w:rsid w:val="7B6C7DFB"/>
    <w:rsid w:val="7BBFBED0"/>
    <w:rsid w:val="7BC3E394"/>
    <w:rsid w:val="7C1F3737"/>
    <w:rsid w:val="7CBFC87B"/>
    <w:rsid w:val="7CFE0F48"/>
    <w:rsid w:val="7D7EC23E"/>
    <w:rsid w:val="7D916348"/>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77DF8CD"/>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link w:val="35"/>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3"/>
    <w:qFormat/>
    <w:uiPriority w:val="99"/>
    <w:rPr>
      <w:rFonts w:ascii="仿宋_GB2312"/>
      <w:kern w:val="2"/>
      <w:sz w:val="21"/>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chart" Target="charts/chart7.xml"/><Relationship Id="rId2" Type="http://schemas.openxmlformats.org/officeDocument/2006/relationships/settings" Target="settings.xml"/><Relationship Id="rId19" Type="http://schemas.openxmlformats.org/officeDocument/2006/relationships/chart" Target="charts/chart6.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26446;&#24935;&#25935;\&#39044;&#12289;&#20915;&#31639;&#20844;&#24320;\2025&#24180;&#20915;&#31639;&#20844;&#24320;\2025&#24180;&#24230;&#20915;&#31639;&#22270;&#349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26446;&#24935;&#25935;\&#39044;&#12289;&#20915;&#31639;&#20844;&#24320;\2025&#24180;&#20915;&#31639;&#20844;&#24320;\2025&#24180;&#24230;&#20915;&#31639;&#22270;&#349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26446;&#24935;&#25935;\&#39044;&#12289;&#20915;&#31639;&#20844;&#24320;\2025&#24180;&#20915;&#31639;&#20844;&#24320;\2025&#24180;&#24230;&#20915;&#31639;&#22270;&#349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D\&#26446;&#24935;&#25935;\&#39044;&#12289;&#20915;&#31639;&#20844;&#24320;\2025&#24180;&#20915;&#31639;&#20844;&#24320;\2025&#24180;&#24230;&#20915;&#31639;&#22270;&#349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D\&#26446;&#24935;&#25935;\&#39044;&#12289;&#20915;&#31639;&#20844;&#24320;\2025&#24180;&#20915;&#31639;&#20844;&#24320;\2025&#24180;&#24230;&#20915;&#31639;&#22270;&#349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D\&#26446;&#24935;&#25935;\&#39044;&#12289;&#20915;&#31639;&#20844;&#24320;\2025&#24180;&#20915;&#31639;&#20844;&#24320;\2025&#24180;&#24230;&#20915;&#31639;&#22270;&#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zh-CN" altLang="en-US" sz="1800" b="1" i="0" u="none" strike="noStrike" baseline="0"/>
              <a:t>收入、支出决算总计变动情况图</a:t>
            </a:r>
            <a:endParaRPr lang="zh-CN" altLang="en-US"/>
          </a:p>
        </c:rich>
      </c:tx>
      <c:layout/>
      <c:overlay val="false"/>
    </c:title>
    <c:autoTitleDeleted val="false"/>
    <c:plotArea>
      <c:layout>
        <c:manualLayout>
          <c:layoutTarget val="inner"/>
          <c:xMode val="edge"/>
          <c:yMode val="edge"/>
          <c:x val="0.033547466095646"/>
          <c:y val="0.322469135802469"/>
          <c:w val="0.937187723054961"/>
          <c:h val="0.537037037037037"/>
        </c:manualLayout>
      </c:layout>
      <c:barChart>
        <c:barDir val="col"/>
        <c:grouping val="clustered"/>
        <c:varyColors val="false"/>
        <c:ser>
          <c:idx val="0"/>
          <c:order val="0"/>
          <c:tx>
            <c:strRef>
              <c:f>Sheet1!$A$6</c:f>
              <c:strCache>
                <c:ptCount val="1"/>
                <c:pt idx="0">
                  <c:v>2024年度</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Sheet1!$B$5:$C$5</c:f>
              <c:strCache>
                <c:ptCount val="2"/>
                <c:pt idx="0">
                  <c:v>总收入</c:v>
                </c:pt>
                <c:pt idx="1">
                  <c:v>总支出</c:v>
                </c:pt>
              </c:strCache>
            </c:strRef>
          </c:cat>
          <c:val>
            <c:numRef>
              <c:f>Sheet1!$B$6:$C$6</c:f>
              <c:numCache>
                <c:formatCode>General</c:formatCode>
                <c:ptCount val="2"/>
                <c:pt idx="0">
                  <c:v>6916.1</c:v>
                </c:pt>
                <c:pt idx="1">
                  <c:v>6916.1</c:v>
                </c:pt>
              </c:numCache>
            </c:numRef>
          </c:val>
        </c:ser>
        <c:ser>
          <c:idx val="1"/>
          <c:order val="1"/>
          <c:tx>
            <c:strRef>
              <c:f>Sheet1!$A$7</c:f>
              <c:strCache>
                <c:ptCount val="1"/>
                <c:pt idx="0">
                  <c:v>2025年度</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Sheet1!$B$5:$C$5</c:f>
              <c:strCache>
                <c:ptCount val="2"/>
                <c:pt idx="0">
                  <c:v>总收入</c:v>
                </c:pt>
                <c:pt idx="1">
                  <c:v>总支出</c:v>
                </c:pt>
              </c:strCache>
            </c:strRef>
          </c:cat>
          <c:val>
            <c:numRef>
              <c:f>Sheet1!$B$7:$C$7</c:f>
              <c:numCache>
                <c:formatCode>General</c:formatCode>
                <c:ptCount val="2"/>
                <c:pt idx="0">
                  <c:v>6661.09</c:v>
                </c:pt>
                <c:pt idx="1">
                  <c:v>6661.09</c:v>
                </c:pt>
              </c:numCache>
            </c:numRef>
          </c:val>
        </c:ser>
        <c:dLbls>
          <c:showLegendKey val="false"/>
          <c:showVal val="true"/>
          <c:showCatName val="false"/>
          <c:showSerName val="false"/>
          <c:showPercent val="false"/>
          <c:showBubbleSize val="false"/>
        </c:dLbls>
        <c:gapWidth val="150"/>
        <c:overlap val="-25"/>
        <c:axId val="118483200"/>
        <c:axId val="129007616"/>
      </c:barChart>
      <c:catAx>
        <c:axId val="118483200"/>
        <c:scaling>
          <c:orientation val="minMax"/>
        </c:scaling>
        <c:delete val="fals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29007616"/>
        <c:crosses val="autoZero"/>
        <c:auto val="true"/>
        <c:lblAlgn val="ctr"/>
        <c:lblOffset val="100"/>
        <c:noMultiLvlLbl val="false"/>
      </c:catAx>
      <c:valAx>
        <c:axId val="129007616"/>
        <c:scaling>
          <c:orientation val="minMax"/>
        </c:scaling>
        <c:delete val="true"/>
        <c:axPos val="l"/>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18483200"/>
        <c:crosses val="autoZero"/>
        <c:crossBetween val="between"/>
      </c:valAx>
    </c:plotArea>
    <c:legend>
      <c:legendPos val="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zh-CN" altLang="en-US" sz="1800" b="1" i="0" u="none" strike="noStrike" baseline="0"/>
              <a:t>收入决算结构图</a:t>
            </a:r>
            <a:endParaRPr lang="zh-CN" altLang="en-US"/>
          </a:p>
        </c:rich>
      </c:tx>
      <c:layout/>
      <c:overlay val="false"/>
    </c:title>
    <c:autoTitleDeleted val="false"/>
    <c:plotArea>
      <c:layout/>
      <c:pieChart>
        <c:varyColors val="true"/>
        <c:ser>
          <c:idx val="0"/>
          <c:order val="0"/>
          <c:explosion val="0"/>
          <c:dPt>
            <c:idx val="0"/>
            <c:bubble3D val="false"/>
          </c:dPt>
          <c:dPt>
            <c:idx val="1"/>
            <c:bubble3D val="false"/>
          </c:dPt>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95.7%</a:t>
                    </a:r>
                    <a:endParaRPr lang="en-US" altLang="zh-CN"/>
                  </a:p>
                </c:rich>
              </c:tx>
              <c:dLblPos val="bestFit"/>
              <c:showLegendKey val="false"/>
              <c:showVal val="false"/>
              <c:showCatName val="false"/>
              <c:showSerName val="false"/>
              <c:showPercent val="true"/>
              <c:showBubbleSize val="false"/>
              <c:extLst>
                <c:ext xmlns:c15="http://schemas.microsoft.com/office/drawing/2012/chart" uri="{CE6537A1-D6FC-4f65-9D91-7224C49458BB}"/>
              </c:extLst>
            </c:dLbl>
            <c:dLbl>
              <c:idx val="1"/>
              <c:layout>
                <c:manualLayout>
                  <c:x val="0.00964096675415573"/>
                  <c:y val="0.0546205161854768"/>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4.3%</a:t>
                    </a:r>
                    <a:endParaRPr lang="en-US" altLang="zh-CN"/>
                  </a:p>
                </c:rich>
              </c:tx>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Sheet1!$B$19:$C$19</c:f>
              <c:strCache>
                <c:ptCount val="2"/>
                <c:pt idx="0">
                  <c:v>一般公共预算财政拨款收入</c:v>
                </c:pt>
                <c:pt idx="1">
                  <c:v>政府性基金预算财政拨款收入</c:v>
                </c:pt>
              </c:strCache>
            </c:strRef>
          </c:cat>
          <c:val>
            <c:numRef>
              <c:f>Sheet1!$B$20:$C$20</c:f>
              <c:numCache>
                <c:formatCode>General</c:formatCode>
                <c:ptCount val="2"/>
                <c:pt idx="0">
                  <c:v>6374.96</c:v>
                </c:pt>
                <c:pt idx="1">
                  <c:v>286.13</c:v>
                </c:pt>
              </c:numCache>
            </c:numRef>
          </c:val>
        </c:ser>
        <c:dLbls>
          <c:showLegendKey val="false"/>
          <c:showVal val="false"/>
          <c:showCatName val="false"/>
          <c:showSerName val="false"/>
          <c:showPercent val="true"/>
          <c:showBubbleSize val="false"/>
          <c:showLeaderLines val="true"/>
        </c:dLbls>
        <c:firstSliceAng val="0"/>
      </c:pieChart>
    </c:plotArea>
    <c:legend>
      <c:legendPos val="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zh-CN" altLang="en-US" sz="1800" b="1" i="0" u="none" strike="noStrike" baseline="0"/>
              <a:t>支出决算结构图</a:t>
            </a:r>
            <a:endParaRPr lang="zh-CN" altLang="en-US"/>
          </a:p>
        </c:rich>
      </c:tx>
      <c:layout/>
      <c:overlay val="false"/>
    </c:title>
    <c:autoTitleDeleted val="false"/>
    <c:plotArea>
      <c:layout/>
      <c:pieChart>
        <c:varyColors val="true"/>
        <c:ser>
          <c:idx val="0"/>
          <c:order val="0"/>
          <c:explosion val="0"/>
          <c:dPt>
            <c:idx val="0"/>
            <c:bubble3D val="false"/>
          </c:dPt>
          <c:dPt>
            <c:idx val="1"/>
            <c:bubble3D val="false"/>
          </c:dPt>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87.48%</a:t>
                    </a:r>
                    <a:endParaRPr lang="en-US" altLang="zh-CN"/>
                  </a:p>
                </c:rich>
              </c:tx>
              <c:dLblPos val="bestFit"/>
              <c:showLegendKey val="false"/>
              <c:showVal val="false"/>
              <c:showCatName val="false"/>
              <c:showSerName val="false"/>
              <c:showPercent val="true"/>
              <c:showBubbleSize val="false"/>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12.52%</a:t>
                    </a:r>
                    <a:endParaRPr lang="en-US" altLang="zh-CN"/>
                  </a:p>
                </c:rich>
              </c:tx>
              <c:dLblPos val="bestFit"/>
              <c:showLegendKey val="false"/>
              <c:showVal val="false"/>
              <c:showCatName val="false"/>
              <c:showSerName val="false"/>
              <c:showPercent val="tru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Sheet1!$B$37:$C$37</c:f>
              <c:strCache>
                <c:ptCount val="2"/>
                <c:pt idx="0">
                  <c:v>基本支出</c:v>
                </c:pt>
                <c:pt idx="1">
                  <c:v>项目支出</c:v>
                </c:pt>
              </c:strCache>
            </c:strRef>
          </c:cat>
          <c:val>
            <c:numRef>
              <c:f>Sheet1!$B$38:$C$38</c:f>
              <c:numCache>
                <c:formatCode>General</c:formatCode>
                <c:ptCount val="2"/>
                <c:pt idx="0">
                  <c:v>5827.37</c:v>
                </c:pt>
                <c:pt idx="1">
                  <c:v>833.72</c:v>
                </c:pt>
              </c:numCache>
            </c:numRef>
          </c:val>
        </c:ser>
        <c:dLbls>
          <c:showLegendKey val="false"/>
          <c:showVal val="false"/>
          <c:showCatName val="false"/>
          <c:showSerName val="false"/>
          <c:showPercent val="true"/>
          <c:showBubbleSize val="false"/>
          <c:showLeaderLines val="true"/>
        </c:dLbls>
        <c:firstSliceAng val="0"/>
      </c:pieChart>
    </c:plotArea>
    <c:legend>
      <c:legendPos val="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zh-CN" altLang="en-US" sz="1800" b="1" i="0" u="none" strike="noStrike" baseline="0"/>
              <a:t>财政拨款收、支决算总计变动情况</a:t>
            </a:r>
            <a:endParaRPr lang="zh-CN" altLang="en-US"/>
          </a:p>
        </c:rich>
      </c:tx>
      <c:layout>
        <c:manualLayout>
          <c:xMode val="edge"/>
          <c:yMode val="edge"/>
          <c:x val="0.11103977387442"/>
          <c:y val="0.0233918128654971"/>
        </c:manualLayout>
      </c:layout>
      <c:overlay val="false"/>
    </c:title>
    <c:autoTitleDeleted val="false"/>
    <c:plotArea>
      <c:layout/>
      <c:barChart>
        <c:barDir val="col"/>
        <c:grouping val="clustered"/>
        <c:varyColors val="false"/>
        <c:ser>
          <c:idx val="0"/>
          <c:order val="0"/>
          <c:tx>
            <c:strRef>
              <c:f>Sheet1!$A$54</c:f>
              <c:strCache>
                <c:ptCount val="1"/>
                <c:pt idx="0">
                  <c:v>2024年度</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Sheet1!$B$53:$C$53</c:f>
              <c:strCache>
                <c:ptCount val="2"/>
                <c:pt idx="0">
                  <c:v>财政拨款收入</c:v>
                </c:pt>
                <c:pt idx="1">
                  <c:v>财政拨款支出</c:v>
                </c:pt>
              </c:strCache>
            </c:strRef>
          </c:cat>
          <c:val>
            <c:numRef>
              <c:f>Sheet1!$B$54:$C$54</c:f>
              <c:numCache>
                <c:formatCode>General</c:formatCode>
                <c:ptCount val="2"/>
                <c:pt idx="0">
                  <c:v>6916.1</c:v>
                </c:pt>
                <c:pt idx="1">
                  <c:v>6916.1</c:v>
                </c:pt>
              </c:numCache>
            </c:numRef>
          </c:val>
        </c:ser>
        <c:ser>
          <c:idx val="1"/>
          <c:order val="1"/>
          <c:tx>
            <c:strRef>
              <c:f>Sheet1!$A$55</c:f>
              <c:strCache>
                <c:ptCount val="1"/>
                <c:pt idx="0">
                  <c:v>2025年度</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Sheet1!$B$53:$C$53</c:f>
              <c:strCache>
                <c:ptCount val="2"/>
                <c:pt idx="0">
                  <c:v>财政拨款收入</c:v>
                </c:pt>
                <c:pt idx="1">
                  <c:v>财政拨款支出</c:v>
                </c:pt>
              </c:strCache>
            </c:strRef>
          </c:cat>
          <c:val>
            <c:numRef>
              <c:f>Sheet1!$B$55:$C$55</c:f>
              <c:numCache>
                <c:formatCode>General</c:formatCode>
                <c:ptCount val="2"/>
                <c:pt idx="0">
                  <c:v>6661.09</c:v>
                </c:pt>
                <c:pt idx="1">
                  <c:v>6661.09</c:v>
                </c:pt>
              </c:numCache>
            </c:numRef>
          </c:val>
        </c:ser>
        <c:dLbls>
          <c:showLegendKey val="false"/>
          <c:showVal val="true"/>
          <c:showCatName val="false"/>
          <c:showSerName val="false"/>
          <c:showPercent val="false"/>
          <c:showBubbleSize val="false"/>
        </c:dLbls>
        <c:gapWidth val="150"/>
        <c:overlap val="-25"/>
        <c:axId val="118634368"/>
        <c:axId val="118635904"/>
      </c:barChart>
      <c:catAx>
        <c:axId val="118634368"/>
        <c:scaling>
          <c:orientation val="minMax"/>
        </c:scaling>
        <c:delete val="fals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18635904"/>
        <c:crosses val="autoZero"/>
        <c:auto val="true"/>
        <c:lblAlgn val="ctr"/>
        <c:lblOffset val="100"/>
        <c:noMultiLvlLbl val="false"/>
      </c:catAx>
      <c:valAx>
        <c:axId val="118635904"/>
        <c:scaling>
          <c:orientation val="minMax"/>
        </c:scaling>
        <c:delete val="true"/>
        <c:axPos val="l"/>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18634368"/>
        <c:crosses val="autoZero"/>
        <c:crossBetween val="between"/>
      </c:valAx>
    </c:plotArea>
    <c:legend>
      <c:legendPos val="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zh-CN" altLang="en-US" sz="1800" b="1" i="0" u="none" strike="noStrike" baseline="0"/>
              <a:t>一般公共预算财政拨款支出决算 变动情况</a:t>
            </a:r>
            <a:endParaRPr lang="zh-CN" altLang="en-US"/>
          </a:p>
        </c:rich>
      </c:tx>
      <c:layout/>
      <c:overlay val="false"/>
    </c:title>
    <c:autoTitleDeleted val="false"/>
    <c:plotArea>
      <c:layout>
        <c:manualLayout>
          <c:layoutTarget val="inner"/>
          <c:xMode val="edge"/>
          <c:yMode val="edge"/>
          <c:x val="0.0314735336194564"/>
          <c:y val="0.493133583021223"/>
          <c:w val="0.937052932761087"/>
          <c:h val="0.422971285892634"/>
        </c:manualLayout>
      </c:layout>
      <c:barChart>
        <c:barDir val="col"/>
        <c:grouping val="clustered"/>
        <c:varyColors val="false"/>
        <c:ser>
          <c:idx val="0"/>
          <c:order val="0"/>
          <c:tx>
            <c:strRef>
              <c:f>Sheet1!$B$70</c:f>
              <c:strCache>
                <c:ptCount val="1"/>
                <c:pt idx="0">
                  <c:v>一般公共预算财政拨款支出</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Sheet1!$A$71:$A$72</c:f>
              <c:strCache>
                <c:ptCount val="2"/>
                <c:pt idx="0">
                  <c:v>2024年度</c:v>
                </c:pt>
                <c:pt idx="1">
                  <c:v>2025年度</c:v>
                </c:pt>
              </c:strCache>
            </c:strRef>
          </c:cat>
          <c:val>
            <c:numRef>
              <c:f>Sheet1!$B$71:$B$72</c:f>
              <c:numCache>
                <c:formatCode>General</c:formatCode>
                <c:ptCount val="2"/>
                <c:pt idx="0">
                  <c:v>6610.19</c:v>
                </c:pt>
                <c:pt idx="1">
                  <c:v>6374.96</c:v>
                </c:pt>
              </c:numCache>
            </c:numRef>
          </c:val>
        </c:ser>
        <c:dLbls>
          <c:showLegendKey val="false"/>
          <c:showVal val="true"/>
          <c:showCatName val="false"/>
          <c:showSerName val="false"/>
          <c:showPercent val="false"/>
          <c:showBubbleSize val="false"/>
        </c:dLbls>
        <c:gapWidth val="150"/>
        <c:overlap val="-25"/>
        <c:axId val="118660480"/>
        <c:axId val="118666368"/>
      </c:barChart>
      <c:catAx>
        <c:axId val="118660480"/>
        <c:scaling>
          <c:orientation val="minMax"/>
        </c:scaling>
        <c:delete val="fals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18666368"/>
        <c:crosses val="autoZero"/>
        <c:auto val="true"/>
        <c:lblAlgn val="ctr"/>
        <c:lblOffset val="100"/>
        <c:noMultiLvlLbl val="false"/>
      </c:catAx>
      <c:valAx>
        <c:axId val="118666368"/>
        <c:scaling>
          <c:orientation val="minMax"/>
        </c:scaling>
        <c:delete val="true"/>
        <c:axPos val="l"/>
        <c:numFmt formatCode="General" sourceLinked="true"/>
        <c:majorTickMark val="none"/>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18660480"/>
        <c:crosses val="autoZero"/>
        <c:crossBetween val="between"/>
      </c:valAx>
    </c:plotArea>
    <c:legend>
      <c:legendPos val="t"/>
      <c:layout>
        <c:manualLayout>
          <c:xMode val="edge"/>
          <c:yMode val="edge"/>
          <c:x val="0.307010014306152"/>
          <c:y val="0.290556159639161"/>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zh-CN" altLang="en-US" sz="1800" b="1" i="0" u="none" strike="noStrike" baseline="0"/>
              <a:t>一般公共预算财政拨款支出           决算结构</a:t>
            </a:r>
            <a:endParaRPr lang="zh-CN" altLang="en-US"/>
          </a:p>
        </c:rich>
      </c:tx>
      <c:layout/>
      <c:overlay val="false"/>
    </c:title>
    <c:autoTitleDeleted val="false"/>
    <c:plotArea>
      <c:layout/>
      <c:pieChart>
        <c:varyColors val="true"/>
        <c:ser>
          <c:idx val="0"/>
          <c:order val="0"/>
          <c:explosion val="0"/>
          <c:dPt>
            <c:idx val="0"/>
            <c:bubble3D val="false"/>
          </c:dPt>
          <c:dPt>
            <c:idx val="1"/>
            <c:bubble3D val="false"/>
          </c:dPt>
          <c:dPt>
            <c:idx val="2"/>
            <c:bubble3D val="false"/>
          </c:dPt>
          <c:dPt>
            <c:idx val="3"/>
            <c:bubble3D val="false"/>
          </c:dPt>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32.71%</a:t>
                    </a:r>
                    <a:endParaRPr lang="en-US" altLang="zh-CN"/>
                  </a:p>
                </c:rich>
              </c:tx>
              <c:dLblPos val="bestFit"/>
              <c:showLegendKey val="false"/>
              <c:showVal val="false"/>
              <c:showCatName val="false"/>
              <c:showSerName val="false"/>
              <c:showPercent val="true"/>
              <c:showBubbleSize val="false"/>
              <c:extLst>
                <c:ext xmlns:c15="http://schemas.microsoft.com/office/drawing/2012/chart" uri="{CE6537A1-D6FC-4f65-9D91-7224C49458BB}"/>
              </c:extLst>
            </c:dLbl>
            <c:dLbl>
              <c:idx val="1"/>
              <c:layout>
                <c:manualLayout>
                  <c:x val="-0.0335155557784576"/>
                  <c:y val="-0.0353975823444605"/>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0.79%</a:t>
                    </a:r>
                    <a:endParaRPr lang="en-US" altLang="zh-CN"/>
                  </a:p>
                </c:rich>
              </c:tx>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dLbl>
              <c:idx val="2"/>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61.94%</a:t>
                    </a:r>
                    <a:endParaRPr lang="en-US" altLang="zh-CN"/>
                  </a:p>
                </c:rich>
              </c:tx>
              <c:dLblPos val="bestFit"/>
              <c:showLegendKey val="false"/>
              <c:showVal val="false"/>
              <c:showCatName val="false"/>
              <c:showSerName val="false"/>
              <c:showPercent val="true"/>
              <c:showBubbleSize val="false"/>
              <c:extLst>
                <c:ext xmlns:c15="http://schemas.microsoft.com/office/drawing/2012/chart" uri="{CE6537A1-D6FC-4f65-9D91-7224C49458BB}"/>
              </c:extLst>
            </c:dLbl>
            <c:dLbl>
              <c:idx val="3"/>
              <c:layout>
                <c:manualLayout>
                  <c:x val="0.0181096789652886"/>
                  <c:y val="0.0581645780192969"/>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4.56%</a:t>
                    </a:r>
                    <a:endParaRPr lang="en-US" altLang="zh-CN"/>
                  </a:p>
                </c:rich>
              </c:tx>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Sheet1!$A$89:$A$92</c:f>
              <c:strCache>
                <c:ptCount val="4"/>
                <c:pt idx="0">
                  <c:v>社会保障和就业支出</c:v>
                </c:pt>
                <c:pt idx="1">
                  <c:v>卫生健康支出</c:v>
                </c:pt>
                <c:pt idx="2">
                  <c:v>城乡社区支出</c:v>
                </c:pt>
                <c:pt idx="3">
                  <c:v>住房保障支出</c:v>
                </c:pt>
              </c:strCache>
            </c:strRef>
          </c:cat>
          <c:val>
            <c:numRef>
              <c:f>Sheet1!$B$89:$B$92</c:f>
              <c:numCache>
                <c:formatCode>General</c:formatCode>
                <c:ptCount val="4"/>
                <c:pt idx="0">
                  <c:v>2085.45</c:v>
                </c:pt>
                <c:pt idx="1">
                  <c:v>50.14</c:v>
                </c:pt>
                <c:pt idx="2">
                  <c:v>3948.79</c:v>
                </c:pt>
                <c:pt idx="3">
                  <c:v>290.59</c:v>
                </c:pt>
              </c:numCache>
            </c:numRef>
          </c:val>
        </c:ser>
        <c:dLbls>
          <c:showLegendKey val="false"/>
          <c:showVal val="false"/>
          <c:showCatName val="false"/>
          <c:showSerName val="false"/>
          <c:showPercent val="true"/>
          <c:showBubbleSize val="false"/>
          <c:showLeaderLines val="true"/>
        </c:dLbls>
        <c:firstSliceAng val="0"/>
      </c:pieChart>
    </c:plotArea>
    <c:legend>
      <c:legendPos val="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zh-CN" altLang="en-US" sz="1800" b="1" i="0" u="none" strike="noStrike" baseline="0"/>
              <a:t>财政拨款“三公”经费支出结构</a:t>
            </a:r>
            <a:endParaRPr lang="zh-CN" altLang="en-US"/>
          </a:p>
        </c:rich>
      </c:tx>
      <c:layout/>
      <c:overlay val="false"/>
    </c:title>
    <c:autoTitleDeleted val="false"/>
    <c:plotArea>
      <c:layout/>
      <c:pieChart>
        <c:varyColors val="true"/>
        <c:ser>
          <c:idx val="0"/>
          <c:order val="0"/>
          <c:explosion val="0"/>
          <c:dPt>
            <c:idx val="0"/>
            <c:bubble3D val="false"/>
          </c:dPt>
          <c:dPt>
            <c:idx val="1"/>
            <c:bubble3D val="false"/>
          </c:dPt>
          <c:dPt>
            <c:idx val="2"/>
            <c:bubble3D val="false"/>
          </c:dPt>
          <c:dLbls>
            <c:dLbl>
              <c:idx val="0"/>
              <c:layout>
                <c:manualLayout>
                  <c:x val="-0.00949466759693015"/>
                  <c:y val="0.0223152956944212"/>
                </c:manualLayout>
              </c:layout>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99.63%</a:t>
                    </a:r>
                    <a:endParaRPr lang="en-US" altLang="zh-CN"/>
                  </a:p>
                </c:rich>
              </c:tx>
              <c:dLblPos val="bestFit"/>
              <c:showLegendKey val="false"/>
              <c:showVal val="false"/>
              <c:showCatName val="false"/>
              <c:showSerName val="false"/>
              <c:showPercent val="true"/>
              <c:showBubbleSize val="false"/>
              <c:extLst>
                <c:ext xmlns:c15="http://schemas.microsoft.com/office/drawing/2012/chart" uri="{CE6537A1-D6FC-4f65-9D91-7224C49458BB}"/>
              </c:extLst>
            </c:dLbl>
            <c:dLbl>
              <c:idx val="2"/>
              <c:layout>
                <c:manualLayout>
                  <c:x val="0.00841091066148382"/>
                  <c:y val="0.0884938850728768"/>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0.37%</a:t>
                    </a:r>
                    <a:endParaRPr lang="en-US" altLang="zh-CN"/>
                  </a:p>
                </c:rich>
              </c:tx>
              <c:dLblPos val="bestFit"/>
              <c:showLegendKey val="false"/>
              <c:showVal val="false"/>
              <c:showCatName val="false"/>
              <c:showSerName val="false"/>
              <c:showPercent val="tru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Sheet1!$A$106:$A$108</c:f>
              <c:strCache>
                <c:ptCount val="3"/>
                <c:pt idx="0">
                  <c:v>因公出国（境）费支出</c:v>
                </c:pt>
                <c:pt idx="1">
                  <c:v>公务用车购置及运行维护费支出</c:v>
                </c:pt>
                <c:pt idx="2">
                  <c:v>公务接待费支出</c:v>
                </c:pt>
              </c:strCache>
            </c:strRef>
          </c:cat>
          <c:val>
            <c:numRef>
              <c:f>Sheet1!$B$106:$B$108</c:f>
              <c:numCache>
                <c:formatCode>General</c:formatCode>
                <c:ptCount val="3"/>
                <c:pt idx="0">
                  <c:v>0</c:v>
                </c:pt>
                <c:pt idx="1">
                  <c:v>36.24</c:v>
                </c:pt>
                <c:pt idx="2">
                  <c:v>0.13</c:v>
                </c:pt>
              </c:numCache>
            </c:numRef>
          </c:val>
        </c:ser>
        <c:dLbls>
          <c:showLegendKey val="false"/>
          <c:showVal val="false"/>
          <c:showCatName val="false"/>
          <c:showSerName val="false"/>
          <c:showPercent val="true"/>
          <c:showBubbleSize val="false"/>
          <c:showLeaderLines val="true"/>
        </c:dLbls>
        <c:firstSliceAng val="0"/>
      </c:pieChart>
    </c:plotArea>
    <c:legend>
      <c:legendPos val="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103"/>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20</Pages>
  <Words>1034</Words>
  <Characters>5900</Characters>
  <Lines>49</Lines>
  <Paragraphs>13</Paragraphs>
  <TotalTime>9</TotalTime>
  <ScaleCrop>false</ScaleCrop>
  <LinksUpToDate>false</LinksUpToDate>
  <CharactersWithSpaces>6921</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2020-08-09T01:49:00Z</dcterms:created>
  <dc:creator>曹颖</dc:creator>
  <cp:lastModifiedBy>user</cp:lastModifiedBy>
  <cp:lastPrinted>2026-09-01T15:07:00Z</cp:lastPrinted>
  <dcterms:modified xsi:type="dcterms:W3CDTF">2026-09-14T11:03:30Z</dcterms:modified>
  <dc:title>四川省***</dc:title>
  <cp:revision>255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3BF536824C220DA3E40E8B68BA118B1C_42</vt:lpwstr>
  </property>
</Properties>
</file>