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77425"/>
      <w:bookmarkStart w:id="1" w:name="_Toc15378441"/>
      <w:bookmarkStart w:id="2" w:name="_Toc15377193"/>
      <w:bookmarkStart w:id="3" w:name="_Toc15396475"/>
      <w:bookmarkStart w:id="4" w:name="_Toc15396597"/>
      <w:bookmarkStart w:id="5" w:name="_Toc15306267"/>
    </w:p>
    <w:p>
      <w:pPr>
        <w:pStyle w:val="8"/>
        <w:rPr>
          <w:rFonts w:hint="eastAsia" w:ascii="Times New Roman" w:hAnsi="Times New Roman" w:eastAsia="方正小标宋简体" w:cs="Times New Roman"/>
          <w:color w:val="auto"/>
          <w:kern w:val="2"/>
          <w:sz w:val="72"/>
          <w:szCs w:val="72"/>
          <w:highlight w:val="none"/>
          <w:lang w:val="en-US" w:eastAsia="zh-CN" w:bidi="ar-SA"/>
        </w:rPr>
      </w:pPr>
    </w:p>
    <w:p>
      <w:pPr>
        <w:pStyle w:val="8"/>
        <w:rPr>
          <w:rFonts w:hint="eastAsia" w:ascii="Times New Roman" w:hAnsi="Times New Roman" w:eastAsia="方正小标宋简体" w:cs="Times New Roman"/>
          <w:color w:val="auto"/>
          <w:kern w:val="2"/>
          <w:sz w:val="72"/>
          <w:szCs w:val="72"/>
          <w:highlight w:val="none"/>
          <w:lang w:val="en-US" w:eastAsia="zh-CN" w:bidi="ar-SA"/>
        </w:rPr>
      </w:pPr>
    </w:p>
    <w:p>
      <w:pPr>
        <w:pStyle w:val="8"/>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2025年度攀枝花市城市管理行政执法局</w:t>
      </w:r>
    </w:p>
    <w:p>
      <w:pPr>
        <w:pStyle w:val="8"/>
        <w:jc w:val="center"/>
        <w:rPr>
          <w:rFonts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单位</w:t>
      </w:r>
      <w:r>
        <w:rPr>
          <w:rFonts w:hint="eastAsia" w:ascii="Times New Roman" w:hAnsi="Times New Roman" w:eastAsia="方正小标宋简体" w:cs="Times New Roman"/>
          <w:color w:val="auto"/>
          <w:kern w:val="2"/>
          <w:sz w:val="44"/>
          <w:szCs w:val="44"/>
          <w:highlight w:val="none"/>
          <w:lang w:val="en-US" w:eastAsia="zh-CN" w:bidi="ar-SA"/>
        </w:rPr>
        <w:t>决算公开文字说明</w:t>
      </w:r>
    </w:p>
    <w:p>
      <w:pPr>
        <w:spacing w:line="600" w:lineRule="exact"/>
        <w:jc w:val="center"/>
        <w:outlineLvl w:val="0"/>
        <w:rPr>
          <w:rFonts w:ascii="Times New Roman" w:hAnsi="Times New Roman" w:eastAsia="方正小标宋简体"/>
          <w:color w:val="auto"/>
          <w:sz w:val="72"/>
          <w:szCs w:val="72"/>
          <w:highlight w:val="none"/>
        </w:rPr>
      </w:pPr>
    </w:p>
    <w:p>
      <w:pPr>
        <w:pStyle w:val="22"/>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numberInDash" w:start="1"/>
          <w:cols w:space="720" w:num="1"/>
          <w:titlePg/>
          <w:docGrid w:type="lines" w:linePitch="312" w:charSpace="0"/>
        </w:sectPr>
      </w:pPr>
    </w:p>
    <w:p>
      <w:pPr>
        <w:rPr>
          <w:rFonts w:ascii="Times New Roman" w:hAnsi="Times New Roman"/>
        </w:rPr>
      </w:pPr>
    </w:p>
    <w:p>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pStyle w:val="8"/>
        <w:jc w:val="center"/>
        <w:rPr>
          <w:rFonts w:hint="eastAsia" w:ascii="Times New Roman" w:hAnsi="Times New Roman" w:eastAsia="方正小标宋简体" w:cs="Times New Roman"/>
          <w:color w:val="auto"/>
          <w:kern w:val="2"/>
          <w:sz w:val="44"/>
          <w:szCs w:val="44"/>
          <w:highlight w:val="none"/>
          <w:lang w:val="en-US" w:eastAsia="zh-CN" w:bidi="ar-SA"/>
        </w:rPr>
      </w:pPr>
      <w:bookmarkStart w:id="6" w:name="_Toc15377194"/>
      <w:bookmarkStart w:id="7" w:name="_Toc15396598"/>
      <w:bookmarkStart w:id="8" w:name="_Toc15396476"/>
      <w:bookmarkStart w:id="9" w:name="_Toc15377426"/>
      <w:bookmarkStart w:id="10" w:name="_Toc15378442"/>
      <w:r>
        <w:rPr>
          <w:rFonts w:hint="eastAsia" w:ascii="Times New Roman" w:hAnsi="Times New Roman" w:eastAsia="方正小标宋简体" w:cs="Times New Roman"/>
          <w:color w:val="auto"/>
          <w:kern w:val="2"/>
          <w:sz w:val="44"/>
          <w:szCs w:val="44"/>
          <w:highlight w:val="none"/>
          <w:lang w:val="en-US" w:eastAsia="zh-CN" w:bidi="ar-SA"/>
        </w:rPr>
        <w:t>2025年度四川省</w:t>
      </w:r>
      <w:bookmarkEnd w:id="5"/>
      <w:bookmarkStart w:id="11" w:name="_Toc15306268"/>
      <w:r>
        <w:rPr>
          <w:rFonts w:hint="eastAsia" w:ascii="Times New Roman" w:hAnsi="Times New Roman" w:eastAsia="方正小标宋简体" w:cs="Times New Roman"/>
          <w:color w:val="auto"/>
          <w:kern w:val="2"/>
          <w:sz w:val="44"/>
          <w:szCs w:val="44"/>
          <w:highlight w:val="none"/>
          <w:lang w:val="en-US" w:eastAsia="zh-CN" w:bidi="ar-SA"/>
        </w:rPr>
        <w:t>攀枝花市城市管理行政执法局决算</w:t>
      </w:r>
      <w:bookmarkEnd w:id="6"/>
      <w:bookmarkEnd w:id="7"/>
      <w:bookmarkEnd w:id="8"/>
      <w:bookmarkEnd w:id="9"/>
      <w:bookmarkEnd w:id="10"/>
      <w:bookmarkEnd w:id="11"/>
    </w:p>
    <w:p>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Arial"/>
          <w:color w:val="auto"/>
          <w:sz w:val="28"/>
          <w:szCs w:val="28"/>
          <w:highlight w:val="none"/>
        </w:rPr>
      </w:pPr>
    </w:p>
    <w:p>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eastAsia="仿宋_GB2312" w:cs="仿宋_GB2312"/>
          <w:color w:val="auto"/>
          <w:sz w:val="32"/>
          <w:szCs w:val="32"/>
          <w:highlight w:val="none"/>
          <w:lang w:val="en-US" w:eastAsia="zh-CN"/>
        </w:rPr>
        <w:t>14</w:t>
      </w:r>
      <w:bookmarkStart w:id="77" w:name="_GoBack"/>
      <w:bookmarkEnd w:id="77"/>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黑体"/>
          <w:color w:val="auto"/>
          <w:sz w:val="32"/>
          <w:szCs w:val="32"/>
          <w:highlight w:val="none"/>
          <w:lang w:val="en-US" w:eastAsia="zh-CN"/>
        </w:rPr>
        <w:t>............................................</w:t>
      </w:r>
      <w:r>
        <w:rPr>
          <w:rFonts w:hint="eastAsia" w:ascii="Times New Roman" w:eastAsia="黑体" w:cs="黑体"/>
          <w:color w:val="auto"/>
          <w:sz w:val="32"/>
          <w:szCs w:val="32"/>
          <w:highlight w:val="none"/>
          <w:lang w:val="en-US" w:eastAsia="zh-CN"/>
        </w:rPr>
        <w:t>....</w:t>
      </w:r>
      <w:r>
        <w:rPr>
          <w:rFonts w:hint="eastAsia" w:ascii="Times New Roman" w:hAnsi="Times New Roman" w:eastAsia="黑体" w:cs="黑体"/>
          <w:color w:val="auto"/>
          <w:sz w:val="32"/>
          <w:szCs w:val="32"/>
          <w:highlight w:val="none"/>
          <w:lang w:val="en-US" w:eastAsia="zh-CN"/>
        </w:rPr>
        <w:t>....</w:t>
      </w:r>
      <w:r>
        <w:rPr>
          <w:rFonts w:hint="eastAsia" w:ascii="Times New Roman" w:eastAsia="黑体" w:cs="黑体"/>
          <w:color w:val="auto"/>
          <w:sz w:val="32"/>
          <w:szCs w:val="32"/>
          <w:highlight w:val="none"/>
          <w:lang w:val="en-US" w:eastAsia="zh-CN"/>
        </w:rPr>
        <w:t>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......................................................7</w:t>
      </w:r>
    </w:p>
    <w:p>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2025年度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sz w:val="32"/>
          <w:szCs w:val="32"/>
          <w:highlight w:val="none"/>
          <w:lang w:val="en-US" w:eastAsia="zh-CN"/>
        </w:rPr>
        <w:t>...................</w:t>
      </w:r>
      <w:r>
        <w:rPr>
          <w:rFonts w:hint="eastAsia" w:ascii="Times New Roman" w:eastAsia="黑体" w:cs="黑体"/>
          <w:color w:val="auto"/>
          <w:sz w:val="32"/>
          <w:szCs w:val="32"/>
          <w:highlight w:val="none"/>
          <w:lang w:val="en-US" w:eastAsia="zh-CN"/>
        </w:rPr>
        <w:t>.</w:t>
      </w:r>
      <w:r>
        <w:rPr>
          <w:rFonts w:hint="eastAsia" w:ascii="Times New Roman" w:hAnsi="Times New Roman" w:eastAsia="黑体" w:cs="黑体"/>
          <w:color w:val="auto"/>
          <w:sz w:val="32"/>
          <w:szCs w:val="32"/>
          <w:highlight w:val="none"/>
          <w:lang w:val="en-US" w:eastAsia="zh-CN"/>
        </w:rPr>
        <w:t>.....</w:t>
      </w:r>
      <w:r>
        <w:rPr>
          <w:rFonts w:hint="eastAsia" w:ascii="Times New Roman" w:eastAsia="黑体" w:cs="黑体"/>
          <w:color w:val="auto"/>
          <w:sz w:val="32"/>
          <w:szCs w:val="32"/>
          <w:highlight w:val="none"/>
          <w:lang w:val="en-US" w:eastAsia="zh-CN"/>
        </w:rPr>
        <w:t>8</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..............................8</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..........................................8</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..........................................9</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................10</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..........10</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...14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............15</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..................17</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................17</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...............................17</w:t>
      </w:r>
    </w:p>
    <w:p>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w:t>
      </w:r>
      <w:r>
        <w:rPr>
          <w:rFonts w:hint="eastAsia" w:ascii="Times New Roman" w:eastAsia="黑体" w:cs="黑体"/>
          <w:color w:val="auto"/>
          <w:sz w:val="32"/>
          <w:szCs w:val="32"/>
          <w:highlight w:val="none"/>
          <w:lang w:val="en-US" w:eastAsia="zh-CN"/>
        </w:rPr>
        <w:t>.</w:t>
      </w:r>
      <w:r>
        <w:rPr>
          <w:rFonts w:hint="eastAsia" w:ascii="Times New Roman" w:hAnsi="Times New Roman" w:eastAsia="黑体" w:cs="黑体"/>
          <w:color w:val="auto"/>
          <w:sz w:val="32"/>
          <w:szCs w:val="32"/>
          <w:highlight w:val="none"/>
          <w:lang w:val="en-US" w:eastAsia="zh-CN"/>
        </w:rPr>
        <w:t>..........</w:t>
      </w:r>
      <w:r>
        <w:rPr>
          <w:rFonts w:hint="eastAsia" w:ascii="Times New Roman" w:eastAsia="黑体" w:cs="黑体"/>
          <w:color w:val="auto"/>
          <w:sz w:val="32"/>
          <w:szCs w:val="32"/>
          <w:highlight w:val="none"/>
          <w:lang w:val="en-US" w:eastAsia="zh-CN"/>
        </w:rPr>
        <w:t>20</w:t>
      </w:r>
    </w:p>
    <w:p>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........................................................2</w:t>
      </w:r>
      <w:r>
        <w:rPr>
          <w:rFonts w:hint="eastAsia" w:ascii="Times New Roman" w:eastAsia="黑体" w:cs="黑体"/>
          <w:color w:val="auto"/>
          <w:sz w:val="32"/>
          <w:szCs w:val="32"/>
          <w:highlight w:val="none"/>
          <w:lang w:val="en-US" w:eastAsia="zh-CN"/>
        </w:rPr>
        <w:t>3</w:t>
      </w:r>
    </w:p>
    <w:p>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lang w:val="en-US" w:eastAsia="zh-CN"/>
        </w:rPr>
        <w:t>...........................................</w:t>
      </w:r>
      <w:r>
        <w:rPr>
          <w:rFonts w:hint="eastAsia" w:ascii="Times New Roman" w:eastAsia="黑体" w:cs="黑体"/>
          <w:color w:val="auto"/>
          <w:sz w:val="32"/>
          <w:szCs w:val="32"/>
          <w:highlight w:val="none"/>
          <w:lang w:val="en-US" w:eastAsia="zh-CN"/>
        </w:rPr>
        <w:t>.......</w:t>
      </w:r>
      <w:r>
        <w:rPr>
          <w:rFonts w:hint="eastAsia" w:ascii="Times New Roman" w:hAnsi="Times New Roman" w:eastAsia="黑体" w:cs="黑体"/>
          <w:color w:val="auto"/>
          <w:sz w:val="32"/>
          <w:szCs w:val="32"/>
          <w:highlight w:val="none"/>
          <w:lang w:val="en-US" w:eastAsia="zh-CN"/>
        </w:rPr>
        <w:t>......2</w:t>
      </w:r>
      <w:r>
        <w:rPr>
          <w:rFonts w:hint="eastAsia" w:ascii="Times New Roman" w:eastAsia="黑体" w:cs="黑体"/>
          <w:color w:val="auto"/>
          <w:sz w:val="32"/>
          <w:szCs w:val="32"/>
          <w:highlight w:val="none"/>
          <w:lang w:val="en-US" w:eastAsia="zh-CN"/>
        </w:rPr>
        <w:t>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一、收入支出决算总表</w:t>
      </w:r>
      <w:r>
        <w:rPr>
          <w:rFonts w:hint="eastAsia" w:eastAsia="仿宋_GB2312" w:cs="仿宋_GB2312"/>
          <w:color w:val="auto"/>
          <w:sz w:val="32"/>
          <w:szCs w:val="32"/>
          <w:highlight w:val="none"/>
          <w:lang w:val="en-US" w:eastAsia="zh-CN"/>
        </w:rPr>
        <w:t>.......................................24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二、收入决算表</w:t>
      </w:r>
      <w:r>
        <w:rPr>
          <w:rFonts w:hint="eastAsia" w:eastAsia="仿宋_GB2312" w:cs="仿宋_GB2312"/>
          <w:color w:val="auto"/>
          <w:sz w:val="32"/>
          <w:szCs w:val="32"/>
          <w:highlight w:val="none"/>
          <w:lang w:val="en-US" w:eastAsia="zh-CN"/>
        </w:rPr>
        <w:t>................................................24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三、支出决算表</w:t>
      </w:r>
      <w:r>
        <w:rPr>
          <w:rFonts w:hint="eastAsia" w:eastAsia="仿宋_GB2312" w:cs="仿宋_GB2312"/>
          <w:color w:val="auto"/>
          <w:sz w:val="32"/>
          <w:szCs w:val="32"/>
          <w:highlight w:val="none"/>
          <w:lang w:val="en-US" w:eastAsia="zh-CN"/>
        </w:rPr>
        <w:t>................................................24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四、财政拨款收入支出决算总表</w:t>
      </w:r>
      <w:r>
        <w:rPr>
          <w:rFonts w:hint="eastAsia" w:eastAsia="仿宋_GB2312" w:cs="仿宋_GB2312"/>
          <w:color w:val="auto"/>
          <w:sz w:val="32"/>
          <w:szCs w:val="32"/>
          <w:highlight w:val="none"/>
          <w:lang w:val="en-US" w:eastAsia="zh-CN"/>
        </w:rPr>
        <w:t>...........................24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五、财政拨款支出决算明细表</w:t>
      </w:r>
      <w:r>
        <w:rPr>
          <w:rFonts w:hint="eastAsia" w:eastAsia="仿宋_GB2312" w:cs="仿宋_GB2312"/>
          <w:color w:val="auto"/>
          <w:sz w:val="32"/>
          <w:szCs w:val="32"/>
          <w:highlight w:val="none"/>
          <w:lang w:val="en-US" w:eastAsia="zh-CN"/>
        </w:rPr>
        <w:t>..............................24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六、一般公共预算财政拨款支出决算表</w:t>
      </w:r>
      <w:r>
        <w:rPr>
          <w:rFonts w:hint="eastAsia" w:eastAsia="仿宋_GB2312" w:cs="仿宋_GB2312"/>
          <w:color w:val="auto"/>
          <w:sz w:val="32"/>
          <w:szCs w:val="32"/>
          <w:highlight w:val="none"/>
          <w:lang w:val="en-US" w:eastAsia="zh-CN"/>
        </w:rPr>
        <w:t>.................24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eastAsia="仿宋_GB2312" w:cs="仿宋_GB2312"/>
          <w:color w:val="auto"/>
          <w:sz w:val="32"/>
          <w:szCs w:val="32"/>
          <w:highlight w:val="none"/>
          <w:lang w:val="en-US" w:eastAsia="zh-CN"/>
        </w:rPr>
        <w:t>...........24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eastAsia="仿宋_GB2312" w:cs="仿宋_GB2312"/>
          <w:color w:val="auto"/>
          <w:sz w:val="32"/>
          <w:szCs w:val="32"/>
          <w:highlight w:val="none"/>
          <w:lang w:val="en-US" w:eastAsia="zh-CN"/>
        </w:rPr>
        <w:t>......24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eastAsia="仿宋_GB2312" w:cs="仿宋_GB2312"/>
          <w:color w:val="auto"/>
          <w:sz w:val="32"/>
          <w:szCs w:val="32"/>
          <w:highlight w:val="none"/>
          <w:lang w:val="en-US" w:eastAsia="zh-CN"/>
        </w:rPr>
        <w:t>.............24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eastAsia="仿宋_GB2312" w:cs="仿宋_GB2312"/>
          <w:color w:val="auto"/>
          <w:sz w:val="32"/>
          <w:szCs w:val="32"/>
          <w:highlight w:val="none"/>
          <w:lang w:val="en-US" w:eastAsia="zh-CN"/>
        </w:rPr>
        <w:t>.........24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eastAsia="仿宋_GB2312" w:cs="仿宋_GB2312"/>
          <w:color w:val="auto"/>
          <w:sz w:val="32"/>
          <w:szCs w:val="32"/>
          <w:highlight w:val="none"/>
          <w:lang w:val="en-US" w:eastAsia="zh-CN"/>
        </w:rPr>
        <w:t>...24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eastAsia="仿宋_GB2312" w:cs="仿宋_GB2312"/>
          <w:color w:val="auto"/>
          <w:sz w:val="32"/>
          <w:szCs w:val="32"/>
          <w:highlight w:val="none"/>
          <w:lang w:val="en-US" w:eastAsia="zh-CN"/>
        </w:rPr>
        <w:t>..........24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十三、财政拨款“三公”经费支出决算表</w:t>
      </w:r>
      <w:r>
        <w:rPr>
          <w:rFonts w:hint="eastAsia" w:eastAsia="仿宋_GB2312" w:cs="仿宋_GB2312"/>
          <w:color w:val="auto"/>
          <w:sz w:val="32"/>
          <w:szCs w:val="32"/>
          <w:highlight w:val="none"/>
          <w:lang w:val="en-US" w:eastAsia="zh-CN"/>
        </w:rPr>
        <w:t>...................24</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96599"/>
      <w:bookmarkStart w:id="13" w:name="_Toc15377196"/>
      <w:r>
        <w:rPr>
          <w:rFonts w:hint="eastAsia" w:ascii="Times New Roman" w:hAnsi="Times New Roman" w:eastAsia="仿宋_GB2312" w:cs="仿宋_GB2312"/>
          <w:b/>
          <w:color w:val="auto"/>
          <w:sz w:val="32"/>
          <w:szCs w:val="32"/>
          <w:highlight w:val="none"/>
        </w:rPr>
        <w:br w:type="page"/>
      </w:r>
    </w:p>
    <w:p>
      <w:pPr>
        <w:pStyle w:val="5"/>
        <w:jc w:val="center"/>
        <w:rPr>
          <w:rStyle w:val="20"/>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0"/>
          <w:rFonts w:hint="eastAsia" w:ascii="Times New Roman" w:hAnsi="Times New Roman" w:eastAsia="方正小标宋简体" w:cs="方正小标宋简体"/>
          <w:b w:val="0"/>
          <w:bCs w:val="0"/>
          <w:color w:val="auto"/>
          <w:highlight w:val="none"/>
        </w:rPr>
        <w:t>部门概况</w:t>
      </w:r>
      <w:bookmarkEnd w:id="12"/>
      <w:bookmarkEnd w:id="13"/>
    </w:p>
    <w:p>
      <w:pPr>
        <w:widowControl/>
        <w:jc w:val="left"/>
        <w:rPr>
          <w:rFonts w:ascii="Times New Roman" w:hAnsi="Times New Roman" w:eastAsia="黑体"/>
          <w:color w:val="auto"/>
          <w:sz w:val="32"/>
          <w:szCs w:val="32"/>
          <w:highlight w:val="none"/>
        </w:rPr>
      </w:pPr>
    </w:p>
    <w:p>
      <w:pPr>
        <w:pStyle w:val="6"/>
        <w:rPr>
          <w:rFonts w:hint="eastAsia" w:ascii="Times New Roman" w:hAnsi="Times New Roman" w:eastAsia="黑体"/>
          <w:b w:val="0"/>
          <w:color w:val="auto"/>
          <w:highlight w:val="none"/>
          <w:lang w:eastAsia="zh-CN"/>
        </w:rPr>
      </w:pPr>
      <w:bookmarkStart w:id="14" w:name="_Toc15377197"/>
      <w:bookmarkStart w:id="15" w:name="_Toc15396600"/>
      <w:r>
        <w:rPr>
          <w:rFonts w:hint="eastAsia" w:ascii="Times New Roman" w:hAnsi="Times New Roman" w:eastAsia="黑体"/>
          <w:b w:val="0"/>
          <w:color w:val="auto"/>
          <w:highlight w:val="none"/>
          <w:lang w:val="en-US" w:eastAsia="zh-CN"/>
        </w:rPr>
        <w:t xml:space="preserve">    </w:t>
      </w:r>
      <w:r>
        <w:rPr>
          <w:rFonts w:hint="eastAsia" w:ascii="Times New Roman" w:hAnsi="Times New Roman" w:eastAsia="黑体"/>
          <w:b w:val="0"/>
          <w:color w:val="auto"/>
          <w:highlight w:val="none"/>
        </w:rPr>
        <w:t>一、</w:t>
      </w:r>
      <w:bookmarkEnd w:id="14"/>
      <w:bookmarkEnd w:id="15"/>
      <w:r>
        <w:rPr>
          <w:rFonts w:hint="eastAsia" w:ascii="Times New Roman" w:hAnsi="Times New Roman" w:eastAsia="黑体"/>
          <w:b w:val="0"/>
          <w:color w:val="auto"/>
          <w:highlight w:val="none"/>
          <w:lang w:eastAsia="zh-CN"/>
        </w:rPr>
        <w:t>部门职责</w:t>
      </w:r>
      <w:bookmarkStart w:id="16" w:name="_Toc15377200"/>
      <w:bookmarkStart w:id="17" w:name="_Toc15396601"/>
    </w:p>
    <w:p>
      <w:pPr>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lang w:val="en-US" w:eastAsia="zh-CN"/>
        </w:rPr>
        <w:t xml:space="preserve">    </w:t>
      </w:r>
      <w:r>
        <w:rPr>
          <w:rFonts w:hint="eastAsia" w:ascii="仿宋_GB2312" w:eastAsia="仿宋_GB2312" w:cs="仿宋_GB2312"/>
          <w:color w:val="auto"/>
          <w:sz w:val="32"/>
          <w:szCs w:val="32"/>
          <w:highlight w:val="none"/>
        </w:rPr>
        <w:t>四川省攀枝花市城市管理行政执法局贯彻落实党中央关于城市管理工作的方针政策和省委、市委的决策部署，在履行职责过程中坚持和加强党对城市管理工作的集中统一领导。主要职责是：</w:t>
      </w:r>
    </w:p>
    <w:p>
      <w:pPr>
        <w:pageBreakBefore w:val="0"/>
        <w:widowControl w:val="0"/>
        <w:kinsoku/>
        <w:wordWrap/>
        <w:overflowPunct/>
        <w:topLinePunct w:val="0"/>
        <w:autoSpaceDE/>
        <w:autoSpaceDN/>
        <w:bidi w:val="0"/>
        <w:ind w:firstLine="640" w:firstLineChars="200"/>
        <w:textAlignment w:val="auto"/>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1.负责拟订城市管理地方性法规、规章草案。拟订全市城市管理发展规划、实施计划、管理标准等规范性文件。会同相关部门拟订城市管理工作目标并组织实施。</w:t>
      </w:r>
    </w:p>
    <w:p>
      <w:pPr>
        <w:pageBreakBefore w:val="0"/>
        <w:widowControl w:val="0"/>
        <w:kinsoku/>
        <w:wordWrap/>
        <w:overflowPunct/>
        <w:topLinePunct w:val="0"/>
        <w:autoSpaceDE/>
        <w:autoSpaceDN/>
        <w:bidi w:val="0"/>
        <w:ind w:firstLine="640" w:firstLineChars="200"/>
        <w:textAlignment w:val="auto"/>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2.负责城市管理的行政执法工作。集中行使市容环境卫生管理、城市绿化管理、公用事业管理方面的行政处罚权。根据省、市部署和要求，推进城市执法体制改革、改进城市管理工作。</w:t>
      </w:r>
    </w:p>
    <w:p>
      <w:pPr>
        <w:pageBreakBefore w:val="0"/>
        <w:widowControl w:val="0"/>
        <w:kinsoku/>
        <w:wordWrap/>
        <w:overflowPunct/>
        <w:topLinePunct w:val="0"/>
        <w:autoSpaceDE/>
        <w:autoSpaceDN/>
        <w:bidi w:val="0"/>
        <w:ind w:firstLine="640" w:firstLineChars="200"/>
        <w:textAlignment w:val="auto"/>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3.负责城市市容环境卫生综合管理工作。依法对城市市容环境卫生实施监督检查和考核。负责环境卫生作业企业的行业管理。负责城市建城区户外广告和招牌的监督管理。</w:t>
      </w:r>
    </w:p>
    <w:p>
      <w:pPr>
        <w:pageBreakBefore w:val="0"/>
        <w:widowControl w:val="0"/>
        <w:kinsoku/>
        <w:wordWrap/>
        <w:overflowPunct/>
        <w:topLinePunct w:val="0"/>
        <w:autoSpaceDE/>
        <w:autoSpaceDN/>
        <w:bidi w:val="0"/>
        <w:ind w:firstLine="640" w:firstLineChars="200"/>
        <w:textAlignment w:val="auto"/>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4.负责全市城市绿化监督管理工作。负责对全市城市园林绿化行业的管理、业务指导、培训、督促和检查。负责城市园林绿化管理标准和城市园林绿化建设工程有关管理规范的制定。负责城市建成区城市主干道道路两侧的行道树及其附属公共绿地的管理。负责城市规划区古树名木的保护管理工作。负责对权限内园林绿化企业监督管理工作。</w:t>
      </w:r>
    </w:p>
    <w:p>
      <w:pPr>
        <w:pageBreakBefore w:val="0"/>
        <w:widowControl w:val="0"/>
        <w:kinsoku/>
        <w:wordWrap/>
        <w:overflowPunct/>
        <w:topLinePunct w:val="0"/>
        <w:autoSpaceDE/>
        <w:autoSpaceDN/>
        <w:bidi w:val="0"/>
        <w:ind w:firstLine="640" w:firstLineChars="200"/>
        <w:textAlignment w:val="auto"/>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5.负责城镇燃气行业管理工作。负责对燃气企业的运营和服务监督指导。负责城镇燃气的特许经营及企业资质管理工作。拟订编制城镇燃气专项规划。负责燃气行业的统计分析工作。负责安全生产和职业健康工作。编制安全应急预案，参与安全事故的应急处置和事故调查。承担城市管理事权范围内应急突发事件的处置和应急抢险工作。牵头承担城市燃气设施的建设工作。牵头负责环境卫生、城市绿化、城市燃气设施建设的质量安全、文明施工等工作。</w:t>
      </w:r>
    </w:p>
    <w:p>
      <w:pPr>
        <w:pageBreakBefore w:val="0"/>
        <w:widowControl w:val="0"/>
        <w:kinsoku/>
        <w:wordWrap/>
        <w:overflowPunct/>
        <w:topLinePunct w:val="0"/>
        <w:autoSpaceDE/>
        <w:autoSpaceDN/>
        <w:bidi w:val="0"/>
        <w:ind w:firstLine="640" w:firstLineChars="200"/>
        <w:textAlignment w:val="auto"/>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6.负责城市环境卫生的行业管理工作。负责拟订公共环卫设施管理规范和标准。负责拟订本市环境卫生清扫保洁、垃圾收运管理规范标准并组织实施。负责城市生活垃圾分类，拟订生活垃圾分类投放、收集、运输、处置等管理标准和技术规范并监督实施。负责餐厨垃圾、生活垃圾的收集、运输、处置以及建筑垃圾的运输、消纳处置和资源化利用的监督管理。组织开展生活垃圾、餐厨垃圾、建筑垃圾方面集中整治工作。负责监督管理市级生活垃圾、餐厨垃圾处置项目的运营。负责爱国卫生运动相关工作。指导城市环卫行业的市场化工作。组织开展环境卫生方面集中整治工作。负责组织处理环境卫生相关突发、应急事件。牵头承担环境卫生设施的建设工作。</w:t>
      </w:r>
    </w:p>
    <w:p>
      <w:pPr>
        <w:pageBreakBefore w:val="0"/>
        <w:widowControl w:val="0"/>
        <w:kinsoku/>
        <w:wordWrap/>
        <w:overflowPunct/>
        <w:topLinePunct w:val="0"/>
        <w:autoSpaceDE/>
        <w:autoSpaceDN/>
        <w:bidi w:val="0"/>
        <w:ind w:firstLine="640" w:firstLineChars="200"/>
        <w:textAlignment w:val="auto"/>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7.负责城市市容市貌的行业管理工作。负责拟订城市临街建筑（构） 物外立面、户外广告、招牌等城市容貌秩序管理、城市精细化管理标准并组织实施。负责城市容貌秩序监督管理，组织开展“门前五包”推进工作和有损城市容貌的乱象治理。组织开展节假日、重大活动期间市容秩序保障工作。负责监督管理全市户外广告和招牌设置、户外广告设施和公共空间资源有偿出让的相关工作。负责城市管理治理体系和治理能力建设、监督检查和考评工作。牵头组织全市城乡环境综合治理工作。监督、协调城市管理的数字化、智能化建设与运行工作。负责12345 、12319民生热线的监督管理工作。牵头开展城市管理领域的大数据开发与应用。</w:t>
      </w:r>
    </w:p>
    <w:p>
      <w:pPr>
        <w:pageBreakBefore w:val="0"/>
        <w:widowControl w:val="0"/>
        <w:kinsoku/>
        <w:wordWrap/>
        <w:overflowPunct/>
        <w:topLinePunct w:val="0"/>
        <w:autoSpaceDE/>
        <w:autoSpaceDN/>
        <w:bidi w:val="0"/>
        <w:ind w:firstLine="640" w:firstLineChars="200"/>
        <w:textAlignment w:val="auto"/>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8.拟订城市管理工作经费的中长期计划和年度计划，会同有关部门对使用情况实施监督管理。</w:t>
      </w:r>
    </w:p>
    <w:p>
      <w:pPr>
        <w:pageBreakBefore w:val="0"/>
        <w:widowControl w:val="0"/>
        <w:kinsoku/>
        <w:wordWrap/>
        <w:overflowPunct/>
        <w:topLinePunct w:val="0"/>
        <w:autoSpaceDE/>
        <w:autoSpaceDN/>
        <w:bidi w:val="0"/>
        <w:ind w:firstLine="640" w:firstLineChars="200"/>
        <w:textAlignment w:val="auto"/>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9.参与城市新建、改扩建项目中涉及市容环境卫生、园林绿化项目的规划、方案审查、综合验收。</w:t>
      </w:r>
    </w:p>
    <w:p>
      <w:pPr>
        <w:pageBreakBefore w:val="0"/>
        <w:widowControl w:val="0"/>
        <w:kinsoku/>
        <w:wordWrap/>
        <w:overflowPunct/>
        <w:topLinePunct w:val="0"/>
        <w:autoSpaceDE/>
        <w:autoSpaceDN/>
        <w:bidi w:val="0"/>
        <w:ind w:firstLine="640" w:firstLineChars="200"/>
        <w:textAlignment w:val="auto"/>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10.承担职责范围内的安全生产和职业健康、生态环境保护、审批服务便民化等工作。</w:t>
      </w:r>
    </w:p>
    <w:p>
      <w:pPr>
        <w:pageBreakBefore w:val="0"/>
        <w:widowControl w:val="0"/>
        <w:kinsoku/>
        <w:wordWrap/>
        <w:overflowPunct/>
        <w:topLinePunct w:val="0"/>
        <w:autoSpaceDE/>
        <w:autoSpaceDN/>
        <w:bidi w:val="0"/>
        <w:ind w:firstLine="640" w:firstLineChars="200"/>
        <w:textAlignment w:val="auto"/>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rPr>
        <w:t>11.完成市委、市政府交办的其他任务。</w:t>
      </w:r>
    </w:p>
    <w:p>
      <w:pPr>
        <w:pageBreakBefore w:val="0"/>
        <w:widowControl w:val="0"/>
        <w:kinsoku/>
        <w:wordWrap/>
        <w:overflowPunct/>
        <w:topLinePunct w:val="0"/>
        <w:autoSpaceDE/>
        <w:autoSpaceDN/>
        <w:bidi w:val="0"/>
        <w:ind w:firstLine="640" w:firstLineChars="200"/>
        <w:textAlignment w:val="auto"/>
        <w:rPr>
          <w:rFonts w:hint="eastAsia"/>
          <w:lang w:eastAsia="zh-CN"/>
        </w:rPr>
      </w:pPr>
      <w:r>
        <w:rPr>
          <w:rFonts w:hint="eastAsia" w:ascii="仿宋_GB2312" w:eastAsia="仿宋_GB2312" w:cs="仿宋_GB2312"/>
          <w:color w:val="auto"/>
          <w:sz w:val="32"/>
          <w:szCs w:val="32"/>
          <w:highlight w:val="none"/>
        </w:rPr>
        <w:t>12.职能转变。根据“放管服”改革和政府职能转变的要求，精简审批环节，优化项目报建审批流程，推动“最多跑一次”“互联网+政务服务”等改革事项取得重大突破。参与并联审批、联合勘验、联合测绘、联合审图、联合验收以及区域评估。推动审批服务理念、制度、作风全方位深层次变革，最大限度提高企业和群众办事便捷性。推进线上线下深度融合。运用大数据精准分析和评估审批服务办件情况，有针对性地改进办理流程，让办事更便捷、服务更优质。以审批智能化、服务自助化、办事移动化为重点，整合实体大厅、网上平台、移动客户端、自助终端、服务热线等，建立统一的政务咨询投诉举报平台，实现线上线下功能互补、融合发展。加快水、气等服务领域改革，引入社会竞争，强化行业监管和社会监督，解决办事手续繁、效率低问题，提高服务质量。压缩办水办气时间，推动取消申请费、手续费等收费。</w:t>
      </w:r>
    </w:p>
    <w:p>
      <w:pPr>
        <w:pStyle w:val="6"/>
        <w:keepNext/>
        <w:keepLines/>
        <w:pageBreakBefore w:val="0"/>
        <w:widowControl w:val="0"/>
        <w:kinsoku/>
        <w:wordWrap/>
        <w:overflowPunct/>
        <w:topLinePunct w:val="0"/>
        <w:autoSpaceDE/>
        <w:autoSpaceDN/>
        <w:bidi w:val="0"/>
        <w:ind w:firstLine="640" w:firstLineChars="200"/>
        <w:textAlignment w:val="auto"/>
        <w:rPr>
          <w:rStyle w:val="21"/>
          <w:rFonts w:ascii="Times New Roman" w:hAnsi="Times New Roman"/>
          <w:b w:val="0"/>
          <w:bCs w:val="0"/>
          <w:color w:val="auto"/>
          <w:highlight w:val="none"/>
        </w:rPr>
      </w:pPr>
      <w:r>
        <w:rPr>
          <w:rFonts w:hint="eastAsia" w:ascii="Times New Roman" w:hAnsi="Times New Roman" w:eastAsia="黑体"/>
          <w:b w:val="0"/>
          <w:color w:val="auto"/>
          <w:highlight w:val="none"/>
        </w:rPr>
        <w:t>二、机</w:t>
      </w:r>
      <w:r>
        <w:rPr>
          <w:rStyle w:val="21"/>
          <w:rFonts w:hint="eastAsia" w:ascii="Times New Roman" w:hAnsi="Times New Roman" w:eastAsia="黑体"/>
          <w:b w:val="0"/>
          <w:bCs w:val="0"/>
          <w:color w:val="auto"/>
          <w:highlight w:val="none"/>
        </w:rPr>
        <w:t>构设置</w:t>
      </w:r>
      <w:bookmarkEnd w:id="16"/>
      <w:bookmarkEnd w:id="17"/>
    </w:p>
    <w:p>
      <w:pPr>
        <w:pageBreakBefore w:val="0"/>
        <w:widowControl w:val="0"/>
        <w:kinsoku/>
        <w:wordWrap/>
        <w:overflowPunct/>
        <w:topLinePunct w:val="0"/>
        <w:autoSpaceDE/>
        <w:autoSpaceDN/>
        <w:bidi w:val="0"/>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仿宋_GB2312" w:eastAsia="仿宋_GB2312" w:cs="仿宋_GB2312"/>
          <w:color w:val="auto"/>
          <w:sz w:val="32"/>
          <w:szCs w:val="32"/>
          <w:highlight w:val="none"/>
        </w:rPr>
        <w:t>四川省攀枝花市城市管理行政执法局（本级）</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个，其中行政单</w:t>
      </w:r>
      <w:r>
        <w:rPr>
          <w:rFonts w:hint="eastAsia" w:eastAsia="仿宋_GB2312" w:cs="仿宋_GB2312"/>
          <w:color w:val="auto"/>
          <w:sz w:val="32"/>
          <w:szCs w:val="32"/>
          <w:highlight w:val="none"/>
          <w:lang w:eastAsia="zh-CN"/>
        </w:rPr>
        <w:t>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w:t>
      </w:r>
    </w:p>
    <w:p>
      <w:pPr>
        <w:pStyle w:val="8"/>
        <w:pageBreakBefore w:val="0"/>
        <w:widowControl w:val="0"/>
        <w:kinsoku/>
        <w:wordWrap/>
        <w:overflowPunct/>
        <w:topLinePunct w:val="0"/>
        <w:autoSpaceDE/>
        <w:autoSpaceDN/>
        <w:adjustRightInd w:val="0"/>
        <w:snapToGrid w:val="0"/>
        <w:spacing w:before="93" w:beforeLines="0" w:line="600" w:lineRule="exact"/>
        <w:ind w:firstLine="640" w:firstLineChars="200"/>
        <w:rPr>
          <w:rFonts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四川省攀枝花市城市管理行政执法局（本级）</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lang w:eastAsia="zh-CN"/>
        </w:rPr>
        <w:t>年度</w:t>
      </w:r>
      <w:r>
        <w:rPr>
          <w:rFonts w:hint="eastAsia" w:ascii="Times New Roman" w:hAnsi="Times New Roman" w:eastAsia="仿宋_GB2312" w:cs="仿宋_GB2312"/>
          <w:color w:val="auto"/>
          <w:sz w:val="32"/>
          <w:szCs w:val="32"/>
          <w:highlight w:val="none"/>
        </w:rPr>
        <w:t>部门决算编制范围的二级预算单位包括：</w:t>
      </w:r>
      <w:bookmarkStart w:id="18" w:name="_Toc15306276"/>
      <w:bookmarkStart w:id="19" w:name="_Toc15378449"/>
      <w:bookmarkStart w:id="20" w:name="_Toc15377202"/>
      <w:bookmarkStart w:id="21" w:name="_Toc15377433"/>
    </w:p>
    <w:p>
      <w:pPr>
        <w:pStyle w:val="8"/>
        <w:pageBreakBefore w:val="0"/>
        <w:widowControl w:val="0"/>
        <w:kinsoku/>
        <w:wordWrap/>
        <w:overflowPunct/>
        <w:topLinePunct w:val="0"/>
        <w:autoSpaceDE/>
        <w:autoSpaceDN/>
        <w:adjustRightInd w:val="0"/>
        <w:snapToGrid w:val="0"/>
        <w:spacing w:before="93" w:beforeLines="0" w:line="600" w:lineRule="exact"/>
        <w:ind w:firstLine="640" w:firstLineChars="200"/>
        <w:rPr>
          <w:rFonts w:ascii="Times New Roman" w:hAnsi="Times New Roman" w:cs="仿宋_GB2312"/>
          <w:color w:val="auto"/>
          <w:sz w:val="32"/>
          <w:szCs w:val="32"/>
          <w:highlight w:val="none"/>
          <w:lang w:eastAsia="zh-CN"/>
        </w:rPr>
      </w:pPr>
      <w:r>
        <w:rPr>
          <w:rFonts w:ascii="Times New Roman" w:hAnsi="Times New Roman" w:eastAsia="仿宋_GB2312" w:cs="仿宋_GB2312"/>
          <w:color w:val="auto"/>
          <w:sz w:val="32"/>
          <w:szCs w:val="32"/>
          <w:highlight w:val="none"/>
        </w:rPr>
        <w:t>1.</w:t>
      </w:r>
      <w:r>
        <w:rPr>
          <w:rFonts w:hint="eastAsia" w:ascii="Times New Roman" w:hAnsi="Times New Roman" w:cs="仿宋_GB2312"/>
          <w:color w:val="auto"/>
          <w:sz w:val="32"/>
          <w:szCs w:val="32"/>
          <w:highlight w:val="none"/>
          <w:lang w:eastAsia="zh-CN"/>
        </w:rPr>
        <w:t>攀枝花市园林绿化服务中心</w:t>
      </w:r>
      <w:bookmarkEnd w:id="18"/>
      <w:bookmarkEnd w:id="19"/>
      <w:bookmarkEnd w:id="20"/>
      <w:bookmarkEnd w:id="21"/>
      <w:bookmarkStart w:id="22" w:name="_Toc15306277"/>
      <w:bookmarkStart w:id="23" w:name="_Toc15378450"/>
      <w:bookmarkStart w:id="24" w:name="_Toc15377203"/>
      <w:bookmarkStart w:id="25" w:name="_Toc15377434"/>
    </w:p>
    <w:p>
      <w:pPr>
        <w:pStyle w:val="8"/>
        <w:pageBreakBefore w:val="0"/>
        <w:widowControl w:val="0"/>
        <w:kinsoku/>
        <w:wordWrap/>
        <w:overflowPunct/>
        <w:topLinePunct w:val="0"/>
        <w:autoSpaceDE/>
        <w:autoSpaceDN/>
        <w:adjustRightInd w:val="0"/>
        <w:snapToGrid w:val="0"/>
        <w:spacing w:before="93" w:beforeLines="0" w:line="600" w:lineRule="exact"/>
        <w:ind w:firstLine="640" w:firstLineChars="200"/>
        <w:rPr>
          <w:rFonts w:ascii="Times New Roman" w:hAnsi="Times New Roman" w:eastAsia="仿宋_GB2312" w:cs="仿宋_GB2312"/>
          <w:color w:val="auto"/>
          <w:sz w:val="32"/>
          <w:szCs w:val="32"/>
          <w:highlight w:val="none"/>
          <w:lang w:val="en-US"/>
        </w:rPr>
      </w:pPr>
      <w:r>
        <w:rPr>
          <w:rFonts w:ascii="Times New Roman" w:hAnsi="Times New Roman" w:cs="仿宋_GB2312"/>
          <w:color w:val="auto"/>
          <w:sz w:val="32"/>
          <w:szCs w:val="32"/>
          <w:highlight w:val="none"/>
          <w:lang w:eastAsia="zh-CN"/>
        </w:rPr>
        <w:t>2.</w:t>
      </w:r>
      <w:r>
        <w:rPr>
          <w:rFonts w:hint="eastAsia" w:ascii="Times New Roman" w:hAnsi="Times New Roman" w:cs="仿宋_GB2312"/>
          <w:color w:val="auto"/>
          <w:sz w:val="32"/>
          <w:szCs w:val="32"/>
          <w:highlight w:val="none"/>
          <w:lang w:eastAsia="zh-CN"/>
        </w:rPr>
        <w:t>攀枝花市</w:t>
      </w:r>
      <w:bookmarkEnd w:id="22"/>
      <w:bookmarkEnd w:id="23"/>
      <w:bookmarkEnd w:id="24"/>
      <w:bookmarkEnd w:id="25"/>
      <w:r>
        <w:rPr>
          <w:rFonts w:hint="eastAsia" w:ascii="Times New Roman" w:hAnsi="Times New Roman" w:cs="仿宋_GB2312"/>
          <w:color w:val="auto"/>
          <w:sz w:val="32"/>
          <w:szCs w:val="32"/>
          <w:highlight w:val="none"/>
          <w:lang w:val="en-US" w:eastAsia="zh-CN"/>
        </w:rPr>
        <w:t>12345群众服务中心</w:t>
      </w:r>
    </w:p>
    <w:p>
      <w:pPr>
        <w:pageBreakBefore w:val="0"/>
        <w:widowControl/>
        <w:kinsoku/>
        <w:wordWrap/>
        <w:overflowPunct/>
        <w:topLinePunct w:val="0"/>
        <w:autoSpaceDE/>
        <w:autoSpaceDN/>
        <w:bidi w:val="0"/>
        <w:ind w:firstLine="640" w:firstLineChars="200"/>
        <w:jc w:val="left"/>
        <w:textAlignment w:val="auto"/>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5"/>
        <w:keepNext/>
        <w:keepLines/>
        <w:pageBreakBefore w:val="0"/>
        <w:widowControl w:val="0"/>
        <w:kinsoku/>
        <w:wordWrap/>
        <w:overflowPunct/>
        <w:topLinePunct w:val="0"/>
        <w:autoSpaceDE/>
        <w:autoSpaceDN/>
        <w:bidi w:val="0"/>
        <w:jc w:val="center"/>
        <w:textAlignment w:val="auto"/>
        <w:rPr>
          <w:rFonts w:hint="eastAsia" w:ascii="Times New Roman" w:hAnsi="Times New Roman" w:eastAsia="方正小标宋简体" w:cs="方正小标宋简体"/>
          <w:b w:val="0"/>
          <w:color w:val="auto"/>
          <w:highlight w:val="none"/>
        </w:rPr>
      </w:pPr>
      <w:bookmarkStart w:id="26" w:name="_Toc15377204"/>
      <w:bookmarkStart w:id="27" w:name="_Toc15396602"/>
    </w:p>
    <w:p>
      <w:pPr>
        <w:pStyle w:val="5"/>
        <w:keepNext/>
        <w:keepLines/>
        <w:pageBreakBefore w:val="0"/>
        <w:widowControl w:val="0"/>
        <w:kinsoku/>
        <w:wordWrap/>
        <w:overflowPunct/>
        <w:topLinePunct w:val="0"/>
        <w:autoSpaceDE/>
        <w:autoSpaceDN/>
        <w:bidi w:val="0"/>
        <w:jc w:val="center"/>
        <w:textAlignment w:val="auto"/>
        <w:rPr>
          <w:rFonts w:hint="eastAsia" w:ascii="Times New Roman" w:hAnsi="Times New Roman" w:eastAsia="方正小标宋简体" w:cs="方正小标宋简体"/>
          <w:b w:val="0"/>
          <w:color w:val="auto"/>
          <w:highlight w:val="none"/>
        </w:rPr>
      </w:pPr>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w:t>
      </w:r>
      <w:r>
        <w:rPr>
          <w:rFonts w:hint="eastAsia" w:eastAsia="方正小标宋简体" w:cs="方正小标宋简体"/>
          <w:b w:val="0"/>
          <w:color w:val="auto"/>
          <w:highlight w:val="none"/>
          <w:lang w:val="en-US" w:eastAsia="zh-CN"/>
        </w:rPr>
        <w:t>5</w:t>
      </w:r>
      <w:r>
        <w:rPr>
          <w:rFonts w:hint="eastAsia" w:ascii="Times New Roman" w:hAnsi="Times New Roman" w:eastAsia="方正小标宋简体" w:cs="方正小标宋简体"/>
          <w:b w:val="0"/>
          <w:color w:val="auto"/>
          <w:highlight w:val="none"/>
          <w:lang w:val="en-US" w:eastAsia="zh-CN"/>
        </w:rPr>
        <w:t>年度</w:t>
      </w:r>
      <w:r>
        <w:rPr>
          <w:rFonts w:hint="eastAsia" w:ascii="Times New Roman" w:hAnsi="Times New Roman" w:eastAsia="方正小标宋简体" w:cs="方正小标宋简体"/>
          <w:b w:val="0"/>
          <w:color w:val="auto"/>
          <w:highlight w:val="none"/>
        </w:rPr>
        <w:t>部门决算情况说明</w:t>
      </w:r>
      <w:bookmarkEnd w:id="26"/>
      <w:bookmarkEnd w:id="27"/>
    </w:p>
    <w:p>
      <w:pPr>
        <w:pageBreakBefore w:val="0"/>
        <w:widowControl w:val="0"/>
        <w:kinsoku/>
        <w:wordWrap/>
        <w:overflowPunct/>
        <w:topLinePunct w:val="0"/>
        <w:autoSpaceDE/>
        <w:autoSpaceDN/>
        <w:bidi w:val="0"/>
        <w:ind w:firstLine="420" w:firstLineChars="200"/>
        <w:textAlignment w:val="auto"/>
        <w:rPr>
          <w:rFonts w:ascii="Times New Roman" w:hAnsi="Times New Roman"/>
          <w:color w:val="auto"/>
          <w:highlight w:val="none"/>
        </w:rPr>
      </w:pPr>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1"/>
          <w:rFonts w:hint="eastAsia" w:ascii="Times New Roman" w:hAnsi="Times New Roman" w:eastAsia="黑体"/>
          <w:b w:val="0"/>
          <w:color w:val="auto"/>
          <w:highlight w:val="none"/>
        </w:rPr>
      </w:pPr>
      <w:bookmarkStart w:id="28" w:name="_Toc15396603"/>
      <w:bookmarkStart w:id="29"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1"/>
          <w:rFonts w:hint="eastAsia" w:ascii="Times New Roman" w:hAnsi="Times New Roman" w:eastAsia="黑体"/>
          <w:b w:val="0"/>
          <w:color w:val="auto"/>
          <w:highlight w:val="none"/>
        </w:rPr>
        <w:t>入支出决算总体情况说明</w:t>
      </w:r>
      <w:bookmarkEnd w:id="28"/>
      <w:bookmarkEnd w:id="29"/>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w:t>
      </w:r>
      <w:r>
        <w:rPr>
          <w:rFonts w:hint="eastAsia"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lang w:eastAsia="zh-CN"/>
        </w:rPr>
        <w:t>年度收入、支出总计均为</w:t>
      </w:r>
      <w:r>
        <w:rPr>
          <w:rFonts w:hint="eastAsia" w:eastAsia="仿宋_GB2312" w:cs="仿宋_GB2312"/>
          <w:color w:val="auto"/>
          <w:sz w:val="32"/>
          <w:szCs w:val="32"/>
          <w:highlight w:val="none"/>
          <w:lang w:val="en-US" w:eastAsia="zh-CN"/>
        </w:rPr>
        <w:t>1564.69</w:t>
      </w:r>
      <w:r>
        <w:rPr>
          <w:rFonts w:hint="eastAsia" w:ascii="Times New Roman" w:hAnsi="Times New Roman" w:eastAsia="仿宋_GB2312" w:cs="仿宋_GB2312"/>
          <w:color w:val="auto"/>
          <w:sz w:val="32"/>
          <w:szCs w:val="32"/>
          <w:highlight w:val="none"/>
          <w:lang w:eastAsia="zh-CN"/>
        </w:rPr>
        <w:t>万元。与202</w:t>
      </w:r>
      <w:r>
        <w:rPr>
          <w:rFonts w:hint="eastAsia"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lang w:eastAsia="zh-CN"/>
        </w:rPr>
        <w:t>年度相比，收入、支出总计各增加</w:t>
      </w:r>
      <w:r>
        <w:rPr>
          <w:rFonts w:hint="eastAsia" w:eastAsia="仿宋_GB2312" w:cs="仿宋_GB2312"/>
          <w:color w:val="auto"/>
          <w:sz w:val="32"/>
          <w:szCs w:val="32"/>
          <w:highlight w:val="none"/>
          <w:lang w:val="en-US" w:eastAsia="zh-CN"/>
        </w:rPr>
        <w:t>90.56</w:t>
      </w:r>
      <w:r>
        <w:rPr>
          <w:rFonts w:hint="eastAsia" w:ascii="Times New Roman" w:hAnsi="Times New Roman" w:eastAsia="仿宋_GB2312" w:cs="仿宋_GB2312"/>
          <w:color w:val="auto"/>
          <w:sz w:val="32"/>
          <w:szCs w:val="32"/>
          <w:highlight w:val="none"/>
          <w:lang w:eastAsia="zh-CN"/>
        </w:rPr>
        <w:t>万元，增长</w:t>
      </w:r>
      <w:r>
        <w:rPr>
          <w:rFonts w:hint="eastAsia" w:eastAsia="仿宋_GB2312" w:cs="仿宋_GB2312"/>
          <w:color w:val="auto"/>
          <w:sz w:val="32"/>
          <w:szCs w:val="32"/>
          <w:highlight w:val="none"/>
          <w:lang w:val="en-US" w:eastAsia="zh-CN"/>
        </w:rPr>
        <w:t>6.1</w:t>
      </w:r>
      <w:r>
        <w:rPr>
          <w:rFonts w:hint="eastAsia" w:ascii="Times New Roman" w:hAnsi="Times New Roman" w:eastAsia="仿宋_GB2312" w:cs="仿宋_GB2312"/>
          <w:color w:val="auto"/>
          <w:sz w:val="32"/>
          <w:szCs w:val="32"/>
          <w:highlight w:val="none"/>
          <w:lang w:eastAsia="zh-CN"/>
        </w:rPr>
        <w:t>%。主要变动原因是</w:t>
      </w:r>
      <w:r>
        <w:rPr>
          <w:rFonts w:hint="eastAsia" w:ascii="Times New Roman" w:hAnsi="Times New Roman" w:eastAsia="仿宋_GB2312" w:cs="仿宋_GB2312"/>
          <w:color w:val="auto"/>
          <w:sz w:val="32"/>
          <w:szCs w:val="32"/>
          <w:highlight w:val="none"/>
          <w:lang w:val="en-US" w:eastAsia="zh-CN"/>
        </w:rPr>
        <w:t>202</w:t>
      </w:r>
      <w:r>
        <w:rPr>
          <w:rFonts w:hint="eastAsia"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lang w:val="en-US" w:eastAsia="zh-CN"/>
        </w:rPr>
        <w:t>年</w:t>
      </w:r>
      <w:r>
        <w:rPr>
          <w:rFonts w:hint="eastAsia" w:eastAsia="仿宋_GB2312" w:cs="仿宋_GB2312"/>
          <w:color w:val="auto"/>
          <w:sz w:val="32"/>
          <w:szCs w:val="32"/>
          <w:highlight w:val="none"/>
          <w:lang w:val="en-US" w:eastAsia="zh-CN"/>
        </w:rPr>
        <w:t>人员增加</w:t>
      </w:r>
      <w:r>
        <w:rPr>
          <w:rFonts w:hint="eastAsia" w:ascii="Times New Roman" w:hAnsi="Times New Roman" w:eastAsia="仿宋_GB2312" w:cs="仿宋_GB2312"/>
          <w:color w:val="auto"/>
          <w:sz w:val="32"/>
          <w:szCs w:val="32"/>
          <w:highlight w:val="none"/>
          <w:lang w:val="en-US" w:eastAsia="zh-CN"/>
        </w:rPr>
        <w:t>，导致</w:t>
      </w:r>
      <w:r>
        <w:rPr>
          <w:rFonts w:hint="eastAsia" w:eastAsia="仿宋_GB2312" w:cs="仿宋_GB2312"/>
          <w:color w:val="auto"/>
          <w:sz w:val="32"/>
          <w:szCs w:val="32"/>
          <w:highlight w:val="none"/>
          <w:lang w:val="en-US" w:eastAsia="zh-CN"/>
        </w:rPr>
        <w:t>基本</w:t>
      </w:r>
      <w:r>
        <w:rPr>
          <w:rFonts w:hint="eastAsia" w:ascii="Times New Roman" w:hAnsi="Times New Roman" w:eastAsia="仿宋_GB2312" w:cs="仿宋_GB2312"/>
          <w:color w:val="auto"/>
          <w:sz w:val="32"/>
          <w:szCs w:val="32"/>
          <w:highlight w:val="none"/>
          <w:lang w:val="en-US" w:eastAsia="zh-CN"/>
        </w:rPr>
        <w:t>支出增加</w:t>
      </w:r>
      <w:r>
        <w:rPr>
          <w:rFonts w:hint="eastAsia" w:ascii="Times New Roman" w:hAnsi="Times New Roman" w:eastAsia="仿宋_GB2312" w:cs="仿宋_GB2312"/>
          <w:color w:val="auto"/>
          <w:sz w:val="32"/>
          <w:szCs w:val="32"/>
          <w:highlight w:val="none"/>
          <w:lang w:eastAsia="zh-CN"/>
        </w:rPr>
        <w:t>。</w:t>
      </w:r>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pPr>
        <w:pStyle w:val="27"/>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4667250" cy="2590800"/>
            <wp:effectExtent l="0" t="0" r="24" b="40"/>
            <wp:docPr id="13" name="图片 6" descr="2025图表"/>
            <wp:cNvGraphicFramePr/>
            <a:graphic xmlns:a="http://schemas.openxmlformats.org/drawingml/2006/main">
              <a:graphicData uri="http://schemas.openxmlformats.org/drawingml/2006/picture">
                <pic:pic xmlns:pic="http://schemas.openxmlformats.org/drawingml/2006/picture">
                  <pic:nvPicPr>
                    <pic:cNvPr id="13" name="图片 6" descr="2025图表"/>
                    <pic:cNvPicPr/>
                  </pic:nvPicPr>
                  <pic:blipFill>
                    <a:blip r:embed="rId9"/>
                    <a:stretch>
                      <a:fillRect/>
                    </a:stretch>
                  </pic:blipFill>
                  <pic:spPr>
                    <a:xfrm>
                      <a:off x="0" y="0"/>
                      <a:ext cx="4667250" cy="2590800"/>
                    </a:xfrm>
                    <a:prstGeom prst="rect">
                      <a:avLst/>
                    </a:prstGeom>
                    <a:noFill/>
                    <a:ln w="9525" cap="flat" cmpd="sng">
                      <a:noFill/>
                      <a:prstDash val="solid"/>
                      <a:miter/>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bookmarkStart w:id="30" w:name="_Toc15377206"/>
      <w:bookmarkStart w:id="31" w:name="_Toc15396604"/>
      <w:r>
        <w:rPr>
          <w:rFonts w:hint="eastAsia" w:ascii="Times New Roman" w:hAnsi="Times New Roman" w:eastAsia="黑体"/>
          <w:color w:val="auto"/>
          <w:sz w:val="32"/>
          <w:szCs w:val="32"/>
          <w:highlight w:val="none"/>
          <w:lang w:eastAsia="zh-CN"/>
        </w:rPr>
        <w:t>二、收入决算情况说明</w:t>
      </w:r>
      <w:bookmarkEnd w:id="30"/>
      <w:bookmarkEnd w:id="31"/>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w:t>
      </w:r>
      <w:r>
        <w:rPr>
          <w:rFonts w:hint="eastAsia"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lang w:eastAsia="zh-CN"/>
        </w:rPr>
        <w:t>年度本年收入合计</w:t>
      </w:r>
      <w:r>
        <w:rPr>
          <w:rFonts w:hint="eastAsia" w:eastAsia="仿宋_GB2312" w:cs="仿宋_GB2312"/>
          <w:color w:val="auto"/>
          <w:sz w:val="32"/>
          <w:szCs w:val="32"/>
          <w:highlight w:val="none"/>
          <w:lang w:val="en-US" w:eastAsia="zh-CN"/>
        </w:rPr>
        <w:t>1564.69</w:t>
      </w:r>
      <w:r>
        <w:rPr>
          <w:rFonts w:hint="eastAsia" w:ascii="Times New Roman" w:hAnsi="Times New Roman" w:eastAsia="仿宋_GB2312" w:cs="仿宋_GB2312"/>
          <w:color w:val="auto"/>
          <w:sz w:val="32"/>
          <w:szCs w:val="32"/>
          <w:highlight w:val="none"/>
          <w:lang w:eastAsia="zh-CN"/>
        </w:rPr>
        <w:t>万元，其中：一般公共预算财政拨款收入</w:t>
      </w:r>
      <w:r>
        <w:rPr>
          <w:rFonts w:hint="eastAsia" w:eastAsia="仿宋_GB2312" w:cs="仿宋_GB2312"/>
          <w:color w:val="auto"/>
          <w:sz w:val="32"/>
          <w:szCs w:val="32"/>
          <w:highlight w:val="none"/>
          <w:lang w:val="en-US" w:eastAsia="zh-CN"/>
        </w:rPr>
        <w:t>1564.69</w:t>
      </w:r>
      <w:r>
        <w:rPr>
          <w:rFonts w:hint="eastAsia" w:ascii="Times New Roman" w:hAnsi="Times New Roman" w:eastAsia="仿宋_GB2312" w:cs="仿宋_GB2312"/>
          <w:color w:val="auto"/>
          <w:sz w:val="32"/>
          <w:szCs w:val="32"/>
          <w:highlight w:val="none"/>
          <w:lang w:eastAsia="zh-CN"/>
        </w:rPr>
        <w:t>万元，占100%。</w:t>
      </w:r>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eastAsia" w:ascii="仿宋_GB2312" w:eastAsia="仿宋_GB2312" w:cs="仿宋_GB2312"/>
          <w:color w:val="auto"/>
          <w:sz w:val="32"/>
          <w:szCs w:val="32"/>
          <w:highlight w:val="none"/>
          <w:lang w:eastAsia="zh-CN"/>
        </w:rPr>
      </w:pPr>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eastAsia" w:ascii="仿宋_GB2312" w:eastAsia="仿宋_GB2312" w:cs="仿宋_GB2312"/>
          <w:color w:val="auto"/>
          <w:sz w:val="32"/>
          <w:szCs w:val="32"/>
          <w:highlight w:val="none"/>
          <w:lang w:eastAsia="zh-CN"/>
        </w:rPr>
      </w:pPr>
    </w:p>
    <w:p>
      <w:pPr>
        <w:ind w:firstLine="525" w:firstLineChars="250"/>
        <w:rPr>
          <w:rFonts w:hint="eastAsia" w:eastAsia="宋体"/>
          <w:lang w:eastAsia="zh-CN"/>
        </w:rPr>
      </w:pPr>
      <w:r>
        <w:rPr>
          <w:rFonts w:hint="eastAsia" w:eastAsia="宋体"/>
          <w:lang w:eastAsia="zh-CN"/>
        </w:rPr>
        <w:drawing>
          <wp:inline distT="0" distB="0" distL="114300" distR="114300">
            <wp:extent cx="4200525" cy="2552700"/>
            <wp:effectExtent l="0" t="0" r="31" b="39"/>
            <wp:docPr id="16" name="图片 3" descr="2025图表"/>
            <wp:cNvGraphicFramePr/>
            <a:graphic xmlns:a="http://schemas.openxmlformats.org/drawingml/2006/main">
              <a:graphicData uri="http://schemas.openxmlformats.org/drawingml/2006/picture">
                <pic:pic xmlns:pic="http://schemas.openxmlformats.org/drawingml/2006/picture">
                  <pic:nvPicPr>
                    <pic:cNvPr id="16" name="图片 3" descr="2025图表"/>
                    <pic:cNvPicPr/>
                  </pic:nvPicPr>
                  <pic:blipFill>
                    <a:blip r:embed="rId10"/>
                    <a:stretch>
                      <a:fillRect/>
                    </a:stretch>
                  </pic:blipFill>
                  <pic:spPr>
                    <a:xfrm>
                      <a:off x="0" y="0"/>
                      <a:ext cx="4200525" cy="2552700"/>
                    </a:xfrm>
                    <a:prstGeom prst="rect">
                      <a:avLst/>
                    </a:prstGeom>
                    <a:noFill/>
                    <a:ln w="9525" cap="flat" cmpd="sng">
                      <a:noFill/>
                      <a:prstDash val="solid"/>
                      <a:miter/>
                    </a:ln>
                  </pic:spPr>
                </pic:pic>
              </a:graphicData>
            </a:graphic>
          </wp:inline>
        </w:drawing>
      </w:r>
    </w:p>
    <w:p>
      <w:pPr>
        <w:pStyle w:val="2"/>
        <w:rPr>
          <w:rFonts w:hint="eastAsia"/>
          <w:lang w:eastAsia="zh-CN"/>
        </w:rPr>
      </w:pPr>
    </w:p>
    <w:p>
      <w:pPr>
        <w:jc w:val="center"/>
        <w:rPr>
          <w:rFonts w:hint="eastAsia" w:ascii="Times New Roman" w:hAnsi="Times New Roman" w:eastAsia="仿宋_GB2312" w:cs="仿宋_GB2312"/>
          <w:color w:val="auto"/>
          <w:sz w:val="32"/>
          <w:szCs w:val="32"/>
          <w:highlight w:val="none"/>
          <w:lang w:eastAsia="zh-CN"/>
        </w:rPr>
      </w:pPr>
      <w:r>
        <w:rPr>
          <w:rFonts w:hint="eastAsia"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eastAsia="zh-CN"/>
        </w:rPr>
        <w:t>图2：收入决算结构图）</w:t>
      </w:r>
    </w:p>
    <w:p>
      <w:pPr>
        <w:ind w:firstLine="800" w:firstLineChars="250"/>
        <w:rPr>
          <w:rFonts w:hint="eastAsia" w:ascii="Times New Roman" w:hAnsi="Times New Roman" w:eastAsia="仿宋_GB2312" w:cs="仿宋_GB2312"/>
          <w:color w:val="auto"/>
          <w:sz w:val="32"/>
          <w:szCs w:val="32"/>
          <w:highlight w:val="none"/>
          <w:lang w:eastAsia="zh-CN"/>
        </w:rPr>
      </w:pPr>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1"/>
          <w:rFonts w:hint="eastAsia" w:ascii="Times New Roman" w:hAnsi="Times New Roman" w:eastAsia="黑体"/>
          <w:b w:val="0"/>
          <w:color w:val="auto"/>
          <w:highlight w:val="none"/>
        </w:rPr>
      </w:pPr>
      <w:bookmarkStart w:id="32" w:name="_Toc15377207"/>
      <w:bookmarkStart w:id="33"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1"/>
          <w:rFonts w:hint="eastAsia" w:ascii="Times New Roman" w:hAnsi="Times New Roman" w:eastAsia="黑体"/>
          <w:b w:val="0"/>
          <w:color w:val="auto"/>
          <w:highlight w:val="none"/>
        </w:rPr>
        <w:t>出决算情况说明</w:t>
      </w:r>
      <w:bookmarkEnd w:id="32"/>
      <w:bookmarkEnd w:id="33"/>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w:t>
      </w:r>
      <w:r>
        <w:rPr>
          <w:rFonts w:hint="eastAsia"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lang w:eastAsia="zh-CN"/>
        </w:rPr>
        <w:t>年度本年支出合计</w:t>
      </w:r>
      <w:r>
        <w:rPr>
          <w:rFonts w:hint="eastAsia" w:eastAsia="仿宋_GB2312" w:cs="仿宋_GB2312"/>
          <w:color w:val="auto"/>
          <w:sz w:val="32"/>
          <w:szCs w:val="32"/>
          <w:highlight w:val="none"/>
          <w:lang w:val="en-US" w:eastAsia="zh-CN"/>
        </w:rPr>
        <w:t>1564.69</w:t>
      </w:r>
      <w:r>
        <w:rPr>
          <w:rFonts w:hint="eastAsia" w:ascii="Times New Roman" w:hAnsi="Times New Roman" w:eastAsia="仿宋_GB2312" w:cs="仿宋_GB2312"/>
          <w:color w:val="auto"/>
          <w:sz w:val="32"/>
          <w:szCs w:val="32"/>
          <w:highlight w:val="none"/>
          <w:lang w:eastAsia="zh-CN"/>
        </w:rPr>
        <w:t>万元，其中：基本支出</w:t>
      </w:r>
      <w:r>
        <w:rPr>
          <w:rFonts w:hint="eastAsia" w:eastAsia="仿宋_GB2312" w:cs="仿宋_GB2312"/>
          <w:color w:val="auto"/>
          <w:sz w:val="32"/>
          <w:szCs w:val="32"/>
          <w:highlight w:val="none"/>
          <w:lang w:val="en-US" w:eastAsia="zh-CN"/>
        </w:rPr>
        <w:t>1248.96</w:t>
      </w:r>
      <w:r>
        <w:rPr>
          <w:rFonts w:hint="eastAsia" w:ascii="Times New Roman" w:hAnsi="Times New Roman" w:eastAsia="仿宋_GB2312" w:cs="仿宋_GB2312"/>
          <w:color w:val="auto"/>
          <w:sz w:val="32"/>
          <w:szCs w:val="32"/>
          <w:highlight w:val="none"/>
          <w:lang w:eastAsia="zh-CN"/>
        </w:rPr>
        <w:t>万元，占</w:t>
      </w:r>
      <w:r>
        <w:rPr>
          <w:rFonts w:hint="eastAsia" w:eastAsia="仿宋_GB2312" w:cs="仿宋_GB2312"/>
          <w:color w:val="auto"/>
          <w:sz w:val="32"/>
          <w:szCs w:val="32"/>
          <w:highlight w:val="none"/>
          <w:lang w:val="en-US" w:eastAsia="zh-CN"/>
        </w:rPr>
        <w:t>79.8</w:t>
      </w:r>
      <w:r>
        <w:rPr>
          <w:rFonts w:hint="eastAsia" w:ascii="Times New Roman" w:hAnsi="Times New Roman" w:eastAsia="仿宋_GB2312" w:cs="仿宋_GB2312"/>
          <w:color w:val="auto"/>
          <w:sz w:val="32"/>
          <w:szCs w:val="32"/>
          <w:highlight w:val="none"/>
          <w:lang w:eastAsia="zh-CN"/>
        </w:rPr>
        <w:t>%；项目支出</w:t>
      </w:r>
      <w:r>
        <w:rPr>
          <w:rFonts w:hint="eastAsia" w:eastAsia="仿宋_GB2312" w:cs="仿宋_GB2312"/>
          <w:color w:val="auto"/>
          <w:sz w:val="32"/>
          <w:szCs w:val="32"/>
          <w:highlight w:val="none"/>
          <w:lang w:val="en-US" w:eastAsia="zh-CN"/>
        </w:rPr>
        <w:t>315.73</w:t>
      </w:r>
      <w:r>
        <w:rPr>
          <w:rFonts w:hint="eastAsia" w:ascii="Times New Roman" w:hAnsi="Times New Roman" w:eastAsia="仿宋_GB2312" w:cs="仿宋_GB2312"/>
          <w:color w:val="auto"/>
          <w:sz w:val="32"/>
          <w:szCs w:val="32"/>
          <w:highlight w:val="none"/>
          <w:lang w:eastAsia="zh-CN"/>
        </w:rPr>
        <w:t>万元，占</w:t>
      </w:r>
      <w:r>
        <w:rPr>
          <w:rFonts w:hint="eastAsia" w:eastAsia="仿宋_GB2312" w:cs="仿宋_GB2312"/>
          <w:color w:val="auto"/>
          <w:sz w:val="32"/>
          <w:szCs w:val="32"/>
          <w:highlight w:val="none"/>
          <w:lang w:val="en-US" w:eastAsia="zh-CN"/>
        </w:rPr>
        <w:t>20.2</w:t>
      </w:r>
      <w:r>
        <w:rPr>
          <w:rFonts w:hint="eastAsia" w:ascii="Times New Roman" w:hAnsi="Times New Roman" w:eastAsia="仿宋_GB2312" w:cs="仿宋_GB2312"/>
          <w:color w:val="auto"/>
          <w:sz w:val="32"/>
          <w:szCs w:val="32"/>
          <w:highlight w:val="none"/>
          <w:lang w:eastAsia="zh-CN"/>
        </w:rPr>
        <w:t>%。</w:t>
      </w:r>
    </w:p>
    <w:p>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4076700" cy="2314575"/>
            <wp:effectExtent l="0" t="0" r="32" b="36"/>
            <wp:docPr id="19" name="图片 4" descr="2025图表"/>
            <wp:cNvGraphicFramePr/>
            <a:graphic xmlns:a="http://schemas.openxmlformats.org/drawingml/2006/main">
              <a:graphicData uri="http://schemas.openxmlformats.org/drawingml/2006/picture">
                <pic:pic xmlns:pic="http://schemas.openxmlformats.org/drawingml/2006/picture">
                  <pic:nvPicPr>
                    <pic:cNvPr id="19" name="图片 4" descr="2025图表"/>
                    <pic:cNvPicPr/>
                  </pic:nvPicPr>
                  <pic:blipFill>
                    <a:blip r:embed="rId11"/>
                    <a:stretch>
                      <a:fillRect/>
                    </a:stretch>
                  </pic:blipFill>
                  <pic:spPr>
                    <a:xfrm>
                      <a:off x="0" y="0"/>
                      <a:ext cx="4076700" cy="2314575"/>
                    </a:xfrm>
                    <a:prstGeom prst="rect">
                      <a:avLst/>
                    </a:prstGeom>
                    <a:noFill/>
                    <a:ln w="9525" cap="flat" cmpd="sng">
                      <a:noFill/>
                      <a:prstDash val="solid"/>
                      <a:miter/>
                    </a:ln>
                  </pic:spPr>
                </pic:pic>
              </a:graphicData>
            </a:graphic>
          </wp:inline>
        </w:drawing>
      </w:r>
    </w:p>
    <w:p>
      <w:pPr>
        <w:ind w:firstLine="2080" w:firstLineChars="6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w:t>
      </w:r>
    </w:p>
    <w:p>
      <w:pPr>
        <w:numPr>
          <w:ilvl w:val="0"/>
          <w:numId w:val="1"/>
        </w:numPr>
        <w:spacing w:line="600" w:lineRule="exact"/>
        <w:ind w:left="0" w:firstLine="640" w:firstLineChars="200"/>
        <w:outlineLvl w:val="1"/>
        <w:rPr>
          <w:rStyle w:val="21"/>
          <w:rFonts w:hint="eastAsia" w:ascii="Times New Roman" w:hAnsi="Times New Roman" w:eastAsia="黑体"/>
          <w:b w:val="0"/>
          <w:color w:val="auto"/>
          <w:highlight w:val="none"/>
        </w:rPr>
      </w:pPr>
      <w:bookmarkStart w:id="34" w:name="_Toc15396606"/>
      <w:bookmarkStart w:id="35" w:name="_Toc15377208"/>
      <w:r>
        <w:rPr>
          <w:rFonts w:hint="eastAsia" w:ascii="Times New Roman" w:hAnsi="Times New Roman" w:eastAsia="黑体"/>
          <w:color w:val="auto"/>
          <w:sz w:val="32"/>
          <w:szCs w:val="32"/>
          <w:highlight w:val="none"/>
        </w:rPr>
        <w:t>财</w:t>
      </w:r>
      <w:r>
        <w:rPr>
          <w:rStyle w:val="21"/>
          <w:rFonts w:hint="eastAsia" w:ascii="Times New Roman" w:hAnsi="Times New Roman" w:eastAsia="黑体"/>
          <w:b w:val="0"/>
          <w:color w:val="auto"/>
          <w:highlight w:val="none"/>
        </w:rPr>
        <w:t>政拨款收入支出决算总体情况说明</w:t>
      </w:r>
      <w:bookmarkEnd w:id="34"/>
      <w:bookmarkEnd w:id="35"/>
    </w:p>
    <w:p>
      <w:pPr>
        <w:pStyle w:val="2"/>
        <w:rPr>
          <w:rStyle w:val="21"/>
          <w:rFonts w:hint="eastAsia" w:ascii="Times New Roman" w:hAnsi="Times New Roman" w:eastAsia="黑体"/>
          <w:b w:val="0"/>
          <w:color w:val="auto"/>
          <w:highlight w:val="none"/>
        </w:rPr>
      </w:pPr>
    </w:p>
    <w:p>
      <w:pPr>
        <w:pStyle w:val="3"/>
        <w:rPr>
          <w:rFonts w:hint="eastAsi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年度财政拨款收入、支出总计均为</w:t>
      </w:r>
      <w:r>
        <w:rPr>
          <w:rFonts w:hint="eastAsia" w:eastAsia="仿宋_GB2312" w:cs="仿宋_GB2312"/>
          <w:color w:val="auto"/>
          <w:kern w:val="2"/>
          <w:sz w:val="32"/>
          <w:szCs w:val="32"/>
          <w:highlight w:val="none"/>
          <w:lang w:val="en-US" w:eastAsia="zh-CN" w:bidi="ar-SA"/>
        </w:rPr>
        <w:t>1564.69</w:t>
      </w:r>
      <w:r>
        <w:rPr>
          <w:rFonts w:hint="eastAsia" w:ascii="Times New Roman" w:hAnsi="Times New Roman" w:eastAsia="仿宋_GB2312" w:cs="仿宋_GB2312"/>
          <w:color w:val="auto"/>
          <w:kern w:val="2"/>
          <w:sz w:val="32"/>
          <w:szCs w:val="32"/>
          <w:highlight w:val="none"/>
          <w:lang w:val="en-US" w:eastAsia="zh-CN" w:bidi="ar-SA"/>
        </w:rPr>
        <w:t>万元。与202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年度相比，财政拨款收入总计、支出总计均增加</w:t>
      </w:r>
      <w:r>
        <w:rPr>
          <w:rFonts w:hint="eastAsia" w:eastAsia="仿宋_GB2312" w:cs="仿宋_GB2312"/>
          <w:color w:val="auto"/>
          <w:kern w:val="2"/>
          <w:sz w:val="32"/>
          <w:szCs w:val="32"/>
          <w:highlight w:val="none"/>
          <w:lang w:val="en-US" w:eastAsia="zh-CN" w:bidi="ar-SA"/>
        </w:rPr>
        <w:t>90.56</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6.1</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ascii="Times New Roman" w:hAnsi="Times New Roman" w:eastAsia="仿宋_GB2312" w:cs="仿宋_GB2312"/>
          <w:color w:val="auto"/>
          <w:sz w:val="32"/>
          <w:szCs w:val="32"/>
          <w:highlight w:val="none"/>
          <w:lang w:val="en-US" w:eastAsia="zh-CN"/>
        </w:rPr>
        <w:t>202</w:t>
      </w:r>
      <w:r>
        <w:rPr>
          <w:rFonts w:hint="eastAsia"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lang w:val="en-US" w:eastAsia="zh-CN"/>
        </w:rPr>
        <w:t>年</w:t>
      </w:r>
      <w:r>
        <w:rPr>
          <w:rFonts w:hint="eastAsia" w:eastAsia="仿宋_GB2312" w:cs="仿宋_GB2312"/>
          <w:color w:val="auto"/>
          <w:sz w:val="32"/>
          <w:szCs w:val="32"/>
          <w:highlight w:val="none"/>
          <w:lang w:val="en-US" w:eastAsia="zh-CN"/>
        </w:rPr>
        <w:t>人员增加</w:t>
      </w:r>
      <w:r>
        <w:rPr>
          <w:rFonts w:hint="eastAsia" w:ascii="Times New Roman" w:hAnsi="Times New Roman" w:eastAsia="仿宋_GB2312" w:cs="仿宋_GB2312"/>
          <w:color w:val="auto"/>
          <w:sz w:val="32"/>
          <w:szCs w:val="32"/>
          <w:highlight w:val="none"/>
          <w:lang w:val="en-US" w:eastAsia="zh-CN"/>
        </w:rPr>
        <w:t>，导致</w:t>
      </w:r>
      <w:r>
        <w:rPr>
          <w:rFonts w:hint="eastAsia" w:eastAsia="仿宋_GB2312" w:cs="仿宋_GB2312"/>
          <w:color w:val="auto"/>
          <w:sz w:val="32"/>
          <w:szCs w:val="32"/>
          <w:highlight w:val="none"/>
          <w:lang w:val="en-US" w:eastAsia="zh-CN"/>
        </w:rPr>
        <w:t>基本</w:t>
      </w:r>
      <w:r>
        <w:rPr>
          <w:rFonts w:hint="eastAsia" w:ascii="Times New Roman" w:hAnsi="Times New Roman" w:eastAsia="仿宋_GB2312" w:cs="仿宋_GB2312"/>
          <w:color w:val="auto"/>
          <w:sz w:val="32"/>
          <w:szCs w:val="32"/>
          <w:highlight w:val="none"/>
          <w:lang w:val="en-US" w:eastAsia="zh-CN"/>
        </w:rPr>
        <w:t>支出增加</w:t>
      </w:r>
      <w:r>
        <w:rPr>
          <w:rFonts w:hint="eastAsia" w:ascii="Times New Roman" w:hAnsi="Times New Roman" w:eastAsia="仿宋_GB2312" w:cs="仿宋_GB2312"/>
          <w:color w:val="auto"/>
          <w:sz w:val="32"/>
          <w:szCs w:val="32"/>
          <w:highlight w:val="none"/>
          <w:lang w:eastAsia="zh-CN"/>
        </w:rPr>
        <w:t>。</w:t>
      </w:r>
    </w:p>
    <w:p>
      <w:pPr>
        <w:pStyle w:val="2"/>
        <w:widowControl w:val="0"/>
        <w:snapToGrid w:val="0"/>
        <w:jc w:val="left"/>
      </w:pPr>
    </w:p>
    <w:p>
      <w:pPr>
        <w:pStyle w:val="3"/>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1024" behindDoc="0" locked="0" layoutInCell="1" allowOverlap="1">
            <wp:simplePos x="0" y="0"/>
            <wp:positionH relativeFrom="column">
              <wp:posOffset>532765</wp:posOffset>
            </wp:positionH>
            <wp:positionV relativeFrom="paragraph">
              <wp:posOffset>43815</wp:posOffset>
            </wp:positionV>
            <wp:extent cx="5010150" cy="2638425"/>
            <wp:effectExtent l="0" t="0" r="0" b="0"/>
            <wp:wrapTight wrapText="bothSides">
              <wp:wrapPolygon>
                <wp:start x="0" y="0"/>
                <wp:lineTo x="0" y="21522"/>
                <wp:lineTo x="21518" y="21522"/>
                <wp:lineTo x="21518" y="0"/>
                <wp:lineTo x="0" y="0"/>
              </wp:wrapPolygon>
            </wp:wrapTight>
            <wp:docPr id="22" name="图片 5" descr="2025图表"/>
            <wp:cNvGraphicFramePr/>
            <a:graphic xmlns:a="http://schemas.openxmlformats.org/drawingml/2006/main">
              <a:graphicData uri="http://schemas.openxmlformats.org/drawingml/2006/picture">
                <pic:pic xmlns:pic="http://schemas.openxmlformats.org/drawingml/2006/picture">
                  <pic:nvPicPr>
                    <pic:cNvPr id="22" name="图片 5" descr="2025图表"/>
                    <pic:cNvPicPr/>
                  </pic:nvPicPr>
                  <pic:blipFill>
                    <a:blip r:embed="rId12"/>
                    <a:stretch>
                      <a:fillRect/>
                    </a:stretch>
                  </pic:blipFill>
                  <pic:spPr>
                    <a:xfrm>
                      <a:off x="0" y="0"/>
                      <a:ext cx="5010150" cy="2638425"/>
                    </a:xfrm>
                    <a:prstGeom prst="rect">
                      <a:avLst/>
                    </a:prstGeom>
                    <a:noFill/>
                    <a:ln w="9525" cap="flat" cmpd="sng">
                      <a:noFill/>
                      <a:prstDash val="solid"/>
                      <a:miter/>
                    </a:ln>
                  </pic:spPr>
                </pic:pic>
              </a:graphicData>
            </a:graphic>
          </wp:anchor>
        </w:drawing>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firstLineChars="200"/>
        <w:outlineLvl w:val="1"/>
        <w:rPr>
          <w:rStyle w:val="21"/>
          <w:rFonts w:ascii="Times New Roman" w:hAnsi="Times New Roman" w:eastAsia="黑体"/>
          <w:b w:val="0"/>
          <w:color w:val="auto"/>
          <w:highlight w:val="none"/>
        </w:rPr>
      </w:pPr>
      <w:bookmarkStart w:id="36" w:name="_Toc15377209"/>
      <w:bookmarkStart w:id="37"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1"/>
          <w:rFonts w:hint="eastAsia" w:ascii="Times New Roman" w:hAnsi="Times New Roman" w:eastAsia="黑体"/>
          <w:b w:val="0"/>
          <w:color w:val="auto"/>
          <w:highlight w:val="none"/>
        </w:rPr>
        <w:t>般公共预算财政拨款支出决算情况说明</w:t>
      </w:r>
      <w:bookmarkEnd w:id="36"/>
      <w:bookmarkEnd w:id="37"/>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8"/>
    </w:p>
    <w:p>
      <w:pPr>
        <w:pStyle w:val="3"/>
        <w:rPr>
          <w:rFonts w:hint="eastAsi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年度一般公共预算财政拨款支出</w:t>
      </w:r>
      <w:r>
        <w:rPr>
          <w:rFonts w:hint="eastAsia" w:eastAsia="仿宋_GB2312" w:cs="仿宋_GB2312"/>
          <w:color w:val="auto"/>
          <w:kern w:val="2"/>
          <w:sz w:val="32"/>
          <w:szCs w:val="32"/>
          <w:highlight w:val="none"/>
          <w:lang w:val="en-US" w:eastAsia="zh-CN" w:bidi="ar-SA"/>
        </w:rPr>
        <w:t>1564.69</w:t>
      </w:r>
      <w:r>
        <w:rPr>
          <w:rFonts w:hint="eastAsia" w:ascii="Times New Roman" w:hAnsi="Times New Roman" w:eastAsia="仿宋_GB2312" w:cs="仿宋_GB2312"/>
          <w:color w:val="auto"/>
          <w:kern w:val="2"/>
          <w:sz w:val="32"/>
          <w:szCs w:val="32"/>
          <w:highlight w:val="none"/>
          <w:lang w:val="en-US" w:eastAsia="zh-CN" w:bidi="ar-SA"/>
        </w:rPr>
        <w:t>万元，占本年支出合计的100%。与202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年度相比，一般公共预算财政拨款支出增加</w:t>
      </w:r>
      <w:r>
        <w:rPr>
          <w:rFonts w:hint="eastAsia" w:eastAsia="仿宋_GB2312" w:cs="仿宋_GB2312"/>
          <w:color w:val="auto"/>
          <w:kern w:val="2"/>
          <w:sz w:val="32"/>
          <w:szCs w:val="32"/>
          <w:highlight w:val="none"/>
          <w:lang w:val="en-US" w:eastAsia="zh-CN" w:bidi="ar-SA"/>
        </w:rPr>
        <w:t>90.56</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6.1</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ascii="Times New Roman" w:hAnsi="Times New Roman" w:eastAsia="仿宋_GB2312" w:cs="仿宋_GB2312"/>
          <w:color w:val="auto"/>
          <w:sz w:val="32"/>
          <w:szCs w:val="32"/>
          <w:highlight w:val="none"/>
          <w:lang w:val="en-US" w:eastAsia="zh-CN"/>
        </w:rPr>
        <w:t>202</w:t>
      </w:r>
      <w:r>
        <w:rPr>
          <w:rFonts w:hint="eastAsia"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lang w:val="en-US" w:eastAsia="zh-CN"/>
        </w:rPr>
        <w:t>年</w:t>
      </w:r>
      <w:r>
        <w:rPr>
          <w:rFonts w:hint="eastAsia" w:eastAsia="仿宋_GB2312" w:cs="仿宋_GB2312"/>
          <w:color w:val="auto"/>
          <w:sz w:val="32"/>
          <w:szCs w:val="32"/>
          <w:highlight w:val="none"/>
          <w:lang w:val="en-US" w:eastAsia="zh-CN"/>
        </w:rPr>
        <w:t>人员增加</w:t>
      </w:r>
      <w:r>
        <w:rPr>
          <w:rFonts w:hint="eastAsia" w:ascii="Times New Roman" w:hAnsi="Times New Roman" w:eastAsia="仿宋_GB2312" w:cs="仿宋_GB2312"/>
          <w:color w:val="auto"/>
          <w:sz w:val="32"/>
          <w:szCs w:val="32"/>
          <w:highlight w:val="none"/>
          <w:lang w:val="en-US" w:eastAsia="zh-CN"/>
        </w:rPr>
        <w:t>，导致</w:t>
      </w:r>
      <w:r>
        <w:rPr>
          <w:rFonts w:hint="eastAsia" w:eastAsia="仿宋_GB2312" w:cs="仿宋_GB2312"/>
          <w:color w:val="auto"/>
          <w:sz w:val="32"/>
          <w:szCs w:val="32"/>
          <w:highlight w:val="none"/>
          <w:lang w:val="en-US" w:eastAsia="zh-CN"/>
        </w:rPr>
        <w:t>基本</w:t>
      </w:r>
      <w:r>
        <w:rPr>
          <w:rFonts w:hint="eastAsia" w:ascii="Times New Roman" w:hAnsi="Times New Roman" w:eastAsia="仿宋_GB2312" w:cs="仿宋_GB2312"/>
          <w:color w:val="auto"/>
          <w:sz w:val="32"/>
          <w:szCs w:val="32"/>
          <w:highlight w:val="none"/>
          <w:lang w:val="en-US" w:eastAsia="zh-CN"/>
        </w:rPr>
        <w:t>支出增加</w:t>
      </w:r>
      <w:r>
        <w:rPr>
          <w:rFonts w:hint="eastAsia" w:ascii="Times New Roman" w:hAnsi="Times New Roman" w:eastAsia="仿宋_GB2312" w:cs="仿宋_GB2312"/>
          <w:color w:val="auto"/>
          <w:sz w:val="32"/>
          <w:szCs w:val="32"/>
          <w:highlight w:val="none"/>
          <w:lang w:eastAsia="zh-CN"/>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sz w:val="32"/>
          <w:szCs w:val="32"/>
          <w:highlight w:val="none"/>
        </w:rPr>
      </w:pPr>
    </w:p>
    <w:p>
      <w:pPr>
        <w:pStyle w:val="3"/>
        <w:rPr>
          <w:rFonts w:hint="eastAsia"/>
          <w:lang w:val="en-US" w:eastAsia="zh-CN"/>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inline distT="0" distB="0" distL="114300" distR="114300">
            <wp:extent cx="5234305" cy="2798445"/>
            <wp:effectExtent l="0" t="0" r="17" b="10"/>
            <wp:docPr id="25" name="图片 7" descr="2025图表"/>
            <wp:cNvGraphicFramePr/>
            <a:graphic xmlns:a="http://schemas.openxmlformats.org/drawingml/2006/main">
              <a:graphicData uri="http://schemas.openxmlformats.org/drawingml/2006/picture">
                <pic:pic xmlns:pic="http://schemas.openxmlformats.org/drawingml/2006/picture">
                  <pic:nvPicPr>
                    <pic:cNvPr id="25" name="图片 7" descr="2025图表"/>
                    <pic:cNvPicPr/>
                  </pic:nvPicPr>
                  <pic:blipFill>
                    <a:blip r:embed="rId13"/>
                    <a:stretch>
                      <a:fillRect/>
                    </a:stretch>
                  </pic:blipFill>
                  <pic:spPr>
                    <a:xfrm>
                      <a:off x="0" y="0"/>
                      <a:ext cx="5234305" cy="2799079"/>
                    </a:xfrm>
                    <a:prstGeom prst="rect">
                      <a:avLst/>
                    </a:prstGeom>
                    <a:noFill/>
                    <a:ln w="9525" cap="flat" cmpd="sng">
                      <a:noFill/>
                      <a:prstDash val="solid"/>
                      <a:miter/>
                    </a:ln>
                  </pic:spPr>
                </pic:pic>
              </a:graphicData>
            </a:graphic>
          </wp:inline>
        </w:drawing>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9" w:name="_Toc15377211"/>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（二）一般公共预算财政拨款支出决算结构情况</w:t>
      </w:r>
      <w:bookmarkEnd w:id="3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年度一般公共预算财政拨款支出</w:t>
      </w:r>
      <w:r>
        <w:rPr>
          <w:rFonts w:hint="eastAsia" w:eastAsia="仿宋_GB2312" w:cs="仿宋_GB2312"/>
          <w:color w:val="auto"/>
          <w:kern w:val="2"/>
          <w:sz w:val="32"/>
          <w:szCs w:val="32"/>
          <w:highlight w:val="none"/>
          <w:lang w:val="en-US" w:eastAsia="zh-CN" w:bidi="ar-SA"/>
        </w:rPr>
        <w:t>1564.69</w:t>
      </w:r>
      <w:r>
        <w:rPr>
          <w:rFonts w:hint="eastAsia" w:ascii="Times New Roman" w:hAnsi="Times New Roman" w:eastAsia="仿宋_GB2312" w:cs="仿宋_GB2312"/>
          <w:color w:val="auto"/>
          <w:kern w:val="2"/>
          <w:sz w:val="32"/>
          <w:szCs w:val="32"/>
          <w:highlight w:val="none"/>
          <w:lang w:val="en-US" w:eastAsia="zh-CN" w:bidi="ar-SA"/>
        </w:rPr>
        <w:t>万元，主要用于以下方面：一般公共服务支出2.</w:t>
      </w:r>
      <w:r>
        <w:rPr>
          <w:rFonts w:hint="eastAsia" w:eastAsia="仿宋_GB2312" w:cs="仿宋_GB2312"/>
          <w:color w:val="auto"/>
          <w:kern w:val="2"/>
          <w:sz w:val="32"/>
          <w:szCs w:val="32"/>
          <w:highlight w:val="none"/>
          <w:lang w:val="en-US" w:eastAsia="zh-CN" w:bidi="ar-SA"/>
        </w:rPr>
        <w:t>02</w:t>
      </w:r>
      <w:r>
        <w:rPr>
          <w:rFonts w:hint="eastAsia" w:ascii="Times New Roman" w:hAnsi="Times New Roman" w:eastAsia="仿宋_GB2312" w:cs="仿宋_GB2312"/>
          <w:color w:val="auto"/>
          <w:kern w:val="2"/>
          <w:sz w:val="32"/>
          <w:szCs w:val="32"/>
          <w:highlight w:val="none"/>
          <w:lang w:val="en-US" w:eastAsia="zh-CN" w:bidi="ar-SA"/>
        </w:rPr>
        <w:t>万元，占0.1%；社会保障和就业支出</w:t>
      </w:r>
      <w:r>
        <w:rPr>
          <w:rFonts w:hint="eastAsia" w:eastAsia="仿宋_GB2312" w:cs="仿宋_GB2312"/>
          <w:color w:val="auto"/>
          <w:kern w:val="2"/>
          <w:sz w:val="32"/>
          <w:szCs w:val="32"/>
          <w:highlight w:val="none"/>
          <w:lang w:val="en-US" w:eastAsia="zh-CN" w:bidi="ar-SA"/>
        </w:rPr>
        <w:t>303.57</w:t>
      </w:r>
      <w:r>
        <w:rPr>
          <w:rFonts w:hint="eastAsia" w:ascii="Times New Roman" w:hAnsi="Times New Roman" w:eastAsia="仿宋_GB2312" w:cs="仿宋_GB2312"/>
          <w:color w:val="auto"/>
          <w:kern w:val="2"/>
          <w:sz w:val="32"/>
          <w:szCs w:val="32"/>
          <w:highlight w:val="none"/>
          <w:lang w:val="en-US" w:eastAsia="zh-CN" w:bidi="ar-SA"/>
        </w:rPr>
        <w:t>万元，占1</w:t>
      </w:r>
      <w:r>
        <w:rPr>
          <w:rFonts w:hint="eastAsia" w:eastAsia="仿宋_GB2312" w:cs="仿宋_GB2312"/>
          <w:color w:val="auto"/>
          <w:kern w:val="2"/>
          <w:sz w:val="32"/>
          <w:szCs w:val="32"/>
          <w:highlight w:val="none"/>
          <w:lang w:val="en-US" w:eastAsia="zh-CN" w:bidi="ar-SA"/>
        </w:rPr>
        <w:t>9.4</w:t>
      </w:r>
      <w:r>
        <w:rPr>
          <w:rFonts w:hint="eastAsia" w:ascii="Times New Roman" w:hAnsi="Times New Roman" w:eastAsia="仿宋_GB2312" w:cs="仿宋_GB2312"/>
          <w:color w:val="auto"/>
          <w:kern w:val="2"/>
          <w:sz w:val="32"/>
          <w:szCs w:val="32"/>
          <w:highlight w:val="none"/>
          <w:lang w:val="en-US" w:eastAsia="zh-CN" w:bidi="ar-SA"/>
        </w:rPr>
        <w:t>%；卫生健康支出59.</w:t>
      </w:r>
      <w:r>
        <w:rPr>
          <w:rFonts w:hint="eastAsia" w:eastAsia="仿宋_GB2312" w:cs="仿宋_GB2312"/>
          <w:color w:val="auto"/>
          <w:kern w:val="2"/>
          <w:sz w:val="32"/>
          <w:szCs w:val="32"/>
          <w:highlight w:val="none"/>
          <w:lang w:val="en-US" w:eastAsia="zh-CN" w:bidi="ar-SA"/>
        </w:rPr>
        <w:t>62</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3.8</w:t>
      </w:r>
      <w:r>
        <w:rPr>
          <w:rFonts w:hint="eastAsia" w:ascii="Times New Roman" w:hAnsi="Times New Roman" w:eastAsia="仿宋_GB2312" w:cs="仿宋_GB2312"/>
          <w:color w:val="auto"/>
          <w:kern w:val="2"/>
          <w:sz w:val="32"/>
          <w:szCs w:val="32"/>
          <w:highlight w:val="none"/>
          <w:lang w:val="en-US" w:eastAsia="zh-CN" w:bidi="ar-SA"/>
        </w:rPr>
        <w:t>%；城乡社区支出</w:t>
      </w:r>
      <w:r>
        <w:rPr>
          <w:rFonts w:hint="eastAsia" w:eastAsia="仿宋_GB2312" w:cs="仿宋_GB2312"/>
          <w:color w:val="auto"/>
          <w:kern w:val="2"/>
          <w:sz w:val="32"/>
          <w:szCs w:val="32"/>
          <w:highlight w:val="none"/>
          <w:lang w:val="en-US" w:eastAsia="zh-CN" w:bidi="ar-SA"/>
        </w:rPr>
        <w:t>1123.86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71.8</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75.63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4.8</w:t>
      </w:r>
      <w:r>
        <w:rPr>
          <w:rFonts w:hint="eastAsia" w:ascii="Times New Roman" w:hAnsi="Times New Roman" w:eastAsia="仿宋_GB2312" w:cs="仿宋_GB2312"/>
          <w:color w:val="auto"/>
          <w:kern w:val="2"/>
          <w:sz w:val="32"/>
          <w:szCs w:val="32"/>
          <w:highlight w:val="none"/>
          <w:lang w:val="en-US" w:eastAsia="zh-CN" w:bidi="ar-SA"/>
        </w:rPr>
        <w:t>%。</w:t>
      </w: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3"/>
        <w:rPr>
          <w:rFonts w:hint="eastAsia" w:ascii="Times New Roman" w:hAnsi="Times New Roman" w:eastAsia="仿宋_GB2312" w:cs="仿宋_GB2312"/>
          <w:color w:val="auto"/>
          <w:kern w:val="2"/>
          <w:sz w:val="32"/>
          <w:szCs w:val="32"/>
          <w:highlight w:val="none"/>
          <w:lang w:val="en-US" w:eastAsia="zh-CN" w:bidi="ar-SA"/>
        </w:rPr>
      </w:pPr>
    </w:p>
    <w:p>
      <w:pPr>
        <w:pStyle w:val="3"/>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ascii="Times New Roman" w:hAnsi="Times New Roman" w:eastAsia="仿宋_GB2312" w:cs="仿宋_GB2312"/>
          <w:color w:val="auto"/>
          <w:kern w:val="2"/>
          <w:sz w:val="32"/>
          <w:szCs w:val="32"/>
          <w:highlight w:val="none"/>
          <w:lang w:val="en-US" w:eastAsia="zh-CN" w:bidi="ar-SA"/>
        </w:rPr>
      </w:pPr>
    </w:p>
    <w:p>
      <w:pPr>
        <w:pStyle w:val="2"/>
        <w:rPr>
          <w:rFonts w:hint="eastAsia"/>
          <w:lang w:val="en-US" w:eastAsia="zh-CN"/>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240" w:lineRule="auto"/>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inline distT="0" distB="0" distL="114300" distR="114300">
            <wp:extent cx="4876800" cy="2438400"/>
            <wp:effectExtent l="0" t="0" r="21" b="38"/>
            <wp:docPr id="28" name="图片 8" descr="2025图表"/>
            <wp:cNvGraphicFramePr/>
            <a:graphic xmlns:a="http://schemas.openxmlformats.org/drawingml/2006/main">
              <a:graphicData uri="http://schemas.openxmlformats.org/drawingml/2006/picture">
                <pic:pic xmlns:pic="http://schemas.openxmlformats.org/drawingml/2006/picture">
                  <pic:nvPicPr>
                    <pic:cNvPr id="28" name="图片 8" descr="2025图表"/>
                    <pic:cNvPicPr/>
                  </pic:nvPicPr>
                  <pic:blipFill>
                    <a:blip r:embed="rId14"/>
                    <a:stretch>
                      <a:fillRect/>
                    </a:stretch>
                  </pic:blipFill>
                  <pic:spPr>
                    <a:xfrm>
                      <a:off x="0" y="0"/>
                      <a:ext cx="4876800" cy="2438400"/>
                    </a:xfrm>
                    <a:prstGeom prst="rect">
                      <a:avLst/>
                    </a:prstGeom>
                    <a:noFill/>
                    <a:ln w="9525" cap="flat" cmpd="sng">
                      <a:noFill/>
                      <a:prstDash val="solid"/>
                      <a:miter/>
                    </a:ln>
                  </pic:spPr>
                </pic:pic>
              </a:graphicData>
            </a:graphic>
          </wp:inline>
        </w:drawing>
      </w:r>
    </w:p>
    <w:p>
      <w:pPr>
        <w:spacing w:line="600" w:lineRule="exact"/>
        <w:ind w:firstLine="640"/>
        <w:jc w:val="center"/>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4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1" w:name="_Toc15378460"/>
      <w:bookmarkStart w:id="42" w:name="_Toc15377213"/>
      <w:bookmarkStart w:id="43" w:name="_Toc15377444"/>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年度一般公共预算财政拨款支出决算数为</w:t>
      </w:r>
      <w:r>
        <w:rPr>
          <w:rFonts w:hint="eastAsia" w:ascii="仿宋_GB2312" w:eastAsia="仿宋_GB2312" w:cs="仿宋_GB2312"/>
          <w:sz w:val="32"/>
          <w:szCs w:val="32"/>
          <w:lang w:val="en-US" w:eastAsia="zh-CN"/>
        </w:rPr>
        <w:t>1564.69万元</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41"/>
      <w:bookmarkEnd w:id="42"/>
      <w:bookmarkEnd w:id="43"/>
    </w:p>
    <w:p>
      <w:pPr>
        <w:tabs>
          <w:tab w:val="right" w:pos="8306"/>
        </w:tabs>
        <w:spacing w:line="600" w:lineRule="exact"/>
        <w:ind w:firstLine="640"/>
        <w:outlineLvl w:val="1"/>
        <w:rPr>
          <w:rFonts w:hint="eastAsia" w:ascii="Times New Roman" w:hAnsi="Times New Roman" w:eastAsia="仿宋_GB2312" w:cs="仿宋_GB2312"/>
          <w:color w:val="auto"/>
          <w:kern w:val="2"/>
          <w:sz w:val="32"/>
          <w:szCs w:val="32"/>
          <w:highlight w:val="none"/>
          <w:lang w:val="en-US" w:eastAsia="zh-CN" w:bidi="ar-SA"/>
        </w:rPr>
      </w:pPr>
      <w:bookmarkStart w:id="44" w:name="_Toc15396608"/>
      <w:bookmarkStart w:id="45" w:name="_Toc15377214"/>
      <w:r>
        <w:rPr>
          <w:rFonts w:hint="eastAsia" w:ascii="Times New Roman" w:hAnsi="Times New Roman" w:eastAsia="仿宋_GB2312" w:cs="仿宋_GB2312"/>
          <w:color w:val="auto"/>
          <w:kern w:val="2"/>
          <w:sz w:val="32"/>
          <w:szCs w:val="32"/>
          <w:highlight w:val="none"/>
          <w:lang w:val="en-US" w:eastAsia="zh-CN" w:bidi="ar-SA"/>
        </w:rPr>
        <w:t>1.一般公共服务（类）组织事务（款）其他组织事务（项）: 支出决算为</w:t>
      </w:r>
      <w:r>
        <w:rPr>
          <w:rFonts w:hint="eastAsia" w:eastAsia="仿宋_GB2312" w:cs="仿宋_GB2312"/>
          <w:color w:val="auto"/>
          <w:kern w:val="2"/>
          <w:sz w:val="32"/>
          <w:szCs w:val="32"/>
          <w:highlight w:val="none"/>
          <w:lang w:val="en-US" w:eastAsia="zh-CN" w:bidi="ar-SA"/>
        </w:rPr>
        <w:t>2.02</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tabs>
          <w:tab w:val="right" w:pos="8306"/>
        </w:tabs>
        <w:spacing w:line="600" w:lineRule="exact"/>
        <w:ind w:firstLine="64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2.社会保障和就业（类）人力资源和社会保障管理事务（款）其他人力资源和社会保障管理事务支出（项）:支出决算为</w:t>
      </w:r>
      <w:r>
        <w:rPr>
          <w:rFonts w:hint="eastAsia" w:eastAsia="仿宋_GB2312" w:cs="仿宋_GB2312"/>
          <w:color w:val="auto"/>
          <w:kern w:val="2"/>
          <w:sz w:val="32"/>
          <w:szCs w:val="32"/>
          <w:highlight w:val="none"/>
          <w:lang w:val="en-US" w:eastAsia="zh-CN" w:bidi="ar-SA"/>
        </w:rPr>
        <w:t>0.72</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tabs>
          <w:tab w:val="right" w:pos="8306"/>
        </w:tabs>
        <w:spacing w:line="600" w:lineRule="exact"/>
        <w:ind w:firstLine="64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社会保障和就业（类）行政事业单位养老（款）行政单位离退休（项）:支出决算为</w:t>
      </w:r>
      <w:r>
        <w:rPr>
          <w:rFonts w:hint="eastAsia" w:eastAsia="仿宋_GB2312" w:cs="仿宋_GB2312"/>
          <w:color w:val="auto"/>
          <w:kern w:val="2"/>
          <w:sz w:val="32"/>
          <w:szCs w:val="32"/>
          <w:highlight w:val="none"/>
          <w:lang w:val="en-US" w:eastAsia="zh-CN" w:bidi="ar-SA"/>
        </w:rPr>
        <w:t>158.79</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tabs>
          <w:tab w:val="right" w:pos="8306"/>
        </w:tabs>
        <w:spacing w:line="600" w:lineRule="exact"/>
        <w:ind w:firstLine="64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.社会保障和就业（类）行政事业单位养老（款）机关事业单位基本养老保险缴费（项）:支出决算为</w:t>
      </w:r>
      <w:r>
        <w:rPr>
          <w:rFonts w:hint="eastAsia" w:eastAsia="仿宋_GB2312" w:cs="仿宋_GB2312"/>
          <w:color w:val="auto"/>
          <w:kern w:val="2"/>
          <w:sz w:val="32"/>
          <w:szCs w:val="32"/>
          <w:highlight w:val="none"/>
          <w:lang w:val="en-US" w:eastAsia="zh-CN" w:bidi="ar-SA"/>
        </w:rPr>
        <w:t>91.6</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tabs>
          <w:tab w:val="right" w:pos="8306"/>
        </w:tabs>
        <w:spacing w:line="600" w:lineRule="exact"/>
        <w:ind w:firstLine="64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.社会保障和就业（类）行政事业单位养老（款）机关事业单位职业年金缴费（项）:支出决算为</w:t>
      </w:r>
      <w:r>
        <w:rPr>
          <w:rFonts w:hint="eastAsia" w:eastAsia="仿宋_GB2312" w:cs="仿宋_GB2312"/>
          <w:color w:val="auto"/>
          <w:kern w:val="2"/>
          <w:sz w:val="32"/>
          <w:szCs w:val="32"/>
          <w:highlight w:val="none"/>
          <w:lang w:val="en-US" w:eastAsia="zh-CN" w:bidi="ar-SA"/>
        </w:rPr>
        <w:t>51.83</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tabs>
          <w:tab w:val="right" w:pos="8306"/>
        </w:tabs>
        <w:spacing w:line="600" w:lineRule="exact"/>
        <w:ind w:firstLine="64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社会保障和就业（类）社会福利（款）儿童福利（项）:支出决算为0.</w:t>
      </w:r>
      <w:r>
        <w:rPr>
          <w:rFonts w:hint="eastAsia" w:eastAsia="仿宋_GB2312" w:cs="仿宋_GB2312"/>
          <w:color w:val="auto"/>
          <w:kern w:val="2"/>
          <w:sz w:val="32"/>
          <w:szCs w:val="32"/>
          <w:highlight w:val="none"/>
          <w:lang w:val="en-US" w:eastAsia="zh-CN" w:bidi="ar-SA"/>
        </w:rPr>
        <w:t>62</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tabs>
          <w:tab w:val="right" w:pos="8306"/>
        </w:tabs>
        <w:spacing w:line="600" w:lineRule="exact"/>
        <w:ind w:firstLine="64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.卫生健康（类）行政事业单位医疗（款）行政单位医疗（项）:支出决算为</w:t>
      </w:r>
      <w:r>
        <w:rPr>
          <w:rFonts w:hint="eastAsia" w:eastAsia="仿宋_GB2312" w:cs="仿宋_GB2312"/>
          <w:color w:val="auto"/>
          <w:kern w:val="2"/>
          <w:sz w:val="32"/>
          <w:szCs w:val="32"/>
          <w:highlight w:val="none"/>
          <w:lang w:val="en-US" w:eastAsia="zh-CN" w:bidi="ar-SA"/>
        </w:rPr>
        <w:t>48.52</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tabs>
          <w:tab w:val="right" w:pos="8306"/>
        </w:tabs>
        <w:spacing w:line="600" w:lineRule="exact"/>
        <w:ind w:firstLine="64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.卫生健康（类）行政事业单位医疗（款）公务员医疗补助（项）:支出决算为5.0</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tabs>
          <w:tab w:val="right" w:pos="8306"/>
        </w:tabs>
        <w:spacing w:line="600" w:lineRule="exact"/>
        <w:ind w:firstLine="64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.卫生健康（类）行政事业单位医疗（款）其他行政事业单位医疗（项）:支出决算为</w:t>
      </w:r>
      <w:r>
        <w:rPr>
          <w:rFonts w:hint="eastAsia" w:eastAsia="仿宋_GB2312" w:cs="仿宋_GB2312"/>
          <w:color w:val="auto"/>
          <w:kern w:val="2"/>
          <w:sz w:val="32"/>
          <w:szCs w:val="32"/>
          <w:highlight w:val="none"/>
          <w:lang w:val="en-US" w:eastAsia="zh-CN" w:bidi="ar-SA"/>
        </w:rPr>
        <w:t>6.01</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tabs>
          <w:tab w:val="right" w:pos="8306"/>
        </w:tabs>
        <w:spacing w:line="600" w:lineRule="exact"/>
        <w:ind w:firstLine="64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en-US" w:eastAsia="zh-CN" w:bidi="ar-SA"/>
        </w:rPr>
        <w:t>.城乡社区（类）城乡社区管理事务（款）行政运行（项）:支出决算为</w:t>
      </w:r>
      <w:r>
        <w:rPr>
          <w:rFonts w:hint="eastAsia" w:eastAsia="仿宋_GB2312" w:cs="仿宋_GB2312"/>
          <w:color w:val="auto"/>
          <w:kern w:val="2"/>
          <w:sz w:val="32"/>
          <w:szCs w:val="32"/>
          <w:highlight w:val="none"/>
          <w:lang w:val="en-US" w:eastAsia="zh-CN" w:bidi="ar-SA"/>
        </w:rPr>
        <w:t>793.5</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tabs>
          <w:tab w:val="right" w:pos="8306"/>
        </w:tabs>
        <w:spacing w:line="600" w:lineRule="exact"/>
        <w:ind w:firstLine="640"/>
        <w:outlineLvl w:val="1"/>
        <w:rPr>
          <w:rFonts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.城乡社区（类）城乡社区管理事务（款）一般行政管理事务（项）:支出决算为</w:t>
      </w:r>
      <w:r>
        <w:rPr>
          <w:rFonts w:hint="eastAsia" w:eastAsia="仿宋_GB2312" w:cs="仿宋_GB2312"/>
          <w:color w:val="auto"/>
          <w:kern w:val="2"/>
          <w:sz w:val="32"/>
          <w:szCs w:val="32"/>
          <w:highlight w:val="none"/>
          <w:lang w:val="en-US" w:eastAsia="zh-CN" w:bidi="ar-SA"/>
        </w:rPr>
        <w:t>70.12</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pPr>
        <w:tabs>
          <w:tab w:val="right" w:pos="8306"/>
        </w:tabs>
        <w:spacing w:line="600" w:lineRule="exact"/>
        <w:ind w:firstLine="640"/>
        <w:outlineLvl w:val="1"/>
        <w:rPr>
          <w:rFonts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.城乡社区（类）城乡社区管理事务（款）其他城乡社区管理事务（项）:支出决算为</w:t>
      </w:r>
      <w:r>
        <w:rPr>
          <w:rFonts w:hint="eastAsia" w:eastAsia="仿宋_GB2312" w:cs="仿宋_GB2312"/>
          <w:color w:val="auto"/>
          <w:kern w:val="2"/>
          <w:sz w:val="32"/>
          <w:szCs w:val="32"/>
          <w:highlight w:val="none"/>
          <w:lang w:val="en-US" w:eastAsia="zh-CN" w:bidi="ar-SA"/>
        </w:rPr>
        <w:t>35.1</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tabs>
          <w:tab w:val="right" w:pos="8306"/>
        </w:tabs>
        <w:spacing w:line="600" w:lineRule="exact"/>
        <w:ind w:firstLine="64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13</w:t>
      </w:r>
      <w:r>
        <w:rPr>
          <w:rFonts w:hint="eastAsia" w:ascii="Times New Roman" w:hAnsi="Times New Roman" w:eastAsia="仿宋_GB2312" w:cs="仿宋_GB2312"/>
          <w:color w:val="auto"/>
          <w:kern w:val="2"/>
          <w:sz w:val="32"/>
          <w:szCs w:val="32"/>
          <w:highlight w:val="none"/>
          <w:lang w:val="en-US" w:eastAsia="zh-CN" w:bidi="ar-SA"/>
        </w:rPr>
        <w:t>.城乡社区（类）城乡社区环境卫生（款）城乡社区环境卫生（项）:支出决算为</w:t>
      </w:r>
      <w:r>
        <w:rPr>
          <w:rFonts w:hint="eastAsia" w:eastAsia="仿宋_GB2312" w:cs="仿宋_GB2312"/>
          <w:color w:val="auto"/>
          <w:kern w:val="2"/>
          <w:sz w:val="32"/>
          <w:szCs w:val="32"/>
          <w:highlight w:val="none"/>
          <w:lang w:val="en-US" w:eastAsia="zh-CN" w:bidi="ar-SA"/>
        </w:rPr>
        <w:t>207.63</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tabs>
          <w:tab w:val="right" w:pos="8306"/>
        </w:tabs>
        <w:spacing w:line="600" w:lineRule="exact"/>
        <w:ind w:firstLine="64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.城乡社区（类）</w:t>
      </w:r>
      <w:r>
        <w:rPr>
          <w:rFonts w:hint="eastAsia" w:eastAsia="仿宋_GB2312" w:cs="仿宋_GB2312"/>
          <w:color w:val="auto"/>
          <w:kern w:val="2"/>
          <w:sz w:val="32"/>
          <w:szCs w:val="32"/>
          <w:highlight w:val="none"/>
          <w:lang w:val="en-US" w:eastAsia="zh-CN" w:bidi="ar-SA"/>
        </w:rPr>
        <w:t>其他</w:t>
      </w:r>
      <w:r>
        <w:rPr>
          <w:rFonts w:hint="eastAsia" w:ascii="Times New Roman" w:hAnsi="Times New Roman" w:eastAsia="仿宋_GB2312" w:cs="仿宋_GB2312"/>
          <w:color w:val="auto"/>
          <w:kern w:val="2"/>
          <w:sz w:val="32"/>
          <w:szCs w:val="32"/>
          <w:highlight w:val="none"/>
          <w:lang w:val="en-US" w:eastAsia="zh-CN" w:bidi="ar-SA"/>
        </w:rPr>
        <w:t>城乡社区（款）</w:t>
      </w:r>
      <w:r>
        <w:rPr>
          <w:rFonts w:hint="eastAsia" w:eastAsia="仿宋_GB2312" w:cs="仿宋_GB2312"/>
          <w:color w:val="auto"/>
          <w:kern w:val="2"/>
          <w:sz w:val="32"/>
          <w:szCs w:val="32"/>
          <w:highlight w:val="none"/>
          <w:lang w:val="en-US" w:eastAsia="zh-CN" w:bidi="ar-SA"/>
        </w:rPr>
        <w:t>其他</w:t>
      </w:r>
      <w:r>
        <w:rPr>
          <w:rFonts w:hint="eastAsia" w:ascii="Times New Roman" w:hAnsi="Times New Roman" w:eastAsia="仿宋_GB2312" w:cs="仿宋_GB2312"/>
          <w:color w:val="auto"/>
          <w:kern w:val="2"/>
          <w:sz w:val="32"/>
          <w:szCs w:val="32"/>
          <w:highlight w:val="none"/>
          <w:lang w:val="en-US" w:eastAsia="zh-CN" w:bidi="ar-SA"/>
        </w:rPr>
        <w:t>城乡社区（项）:支出决算为</w:t>
      </w:r>
      <w:r>
        <w:rPr>
          <w:rFonts w:hint="eastAsia" w:eastAsia="仿宋_GB2312" w:cs="仿宋_GB2312"/>
          <w:color w:val="auto"/>
          <w:kern w:val="2"/>
          <w:sz w:val="32"/>
          <w:szCs w:val="32"/>
          <w:highlight w:val="none"/>
          <w:lang w:val="en-US" w:eastAsia="zh-CN" w:bidi="ar-SA"/>
        </w:rPr>
        <w:t>17.5</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tabs>
          <w:tab w:val="right" w:pos="8306"/>
        </w:tabs>
        <w:spacing w:line="600" w:lineRule="exact"/>
        <w:ind w:firstLine="640"/>
        <w:outlineLvl w:val="1"/>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15</w:t>
      </w:r>
      <w:r>
        <w:rPr>
          <w:rFonts w:hint="eastAsia" w:ascii="Times New Roman" w:hAnsi="Times New Roman" w:eastAsia="仿宋_GB2312" w:cs="仿宋_GB2312"/>
          <w:color w:val="auto"/>
          <w:kern w:val="2"/>
          <w:sz w:val="32"/>
          <w:szCs w:val="32"/>
          <w:highlight w:val="none"/>
          <w:lang w:val="en-US" w:eastAsia="zh-CN" w:bidi="ar-SA"/>
        </w:rPr>
        <w:t>.住房保障（类）住房改革（款）住房公积金（项）:支出决算为</w:t>
      </w:r>
      <w:r>
        <w:rPr>
          <w:rFonts w:hint="eastAsia" w:eastAsia="仿宋_GB2312" w:cs="仿宋_GB2312"/>
          <w:color w:val="auto"/>
          <w:kern w:val="2"/>
          <w:sz w:val="32"/>
          <w:szCs w:val="32"/>
          <w:highlight w:val="none"/>
          <w:lang w:val="en-US" w:eastAsia="zh-CN" w:bidi="ar-SA"/>
        </w:rPr>
        <w:t>75.63</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 xml:space="preserve"> </w:t>
      </w:r>
    </w:p>
    <w:p>
      <w:pPr>
        <w:tabs>
          <w:tab w:val="right" w:pos="8306"/>
        </w:tabs>
        <w:spacing w:line="600" w:lineRule="exact"/>
        <w:ind w:firstLine="640"/>
        <w:outlineLvl w:val="1"/>
        <w:rPr>
          <w:rStyle w:val="21"/>
          <w:rFonts w:ascii="Times New Roman" w:hAnsi="Times New Roman"/>
          <w:color w:val="auto"/>
          <w:highlight w:val="none"/>
        </w:rPr>
      </w:pPr>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1"/>
          <w:rFonts w:hint="eastAsia" w:ascii="Times New Roman" w:hAnsi="Times New Roman" w:eastAsia="黑体"/>
          <w:b w:val="0"/>
          <w:color w:val="auto"/>
          <w:highlight w:val="none"/>
        </w:rPr>
        <w:t>般公共预算财政拨款基本支出决算情况说明</w:t>
      </w:r>
      <w:bookmarkEnd w:id="44"/>
      <w:bookmarkEnd w:id="45"/>
      <w:r>
        <w:rPr>
          <w:rStyle w:val="21"/>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年度一般公共预算财政拨款基本支出</w:t>
      </w:r>
      <w:r>
        <w:rPr>
          <w:rFonts w:hint="eastAsia" w:eastAsia="仿宋_GB2312" w:cs="仿宋_GB2312"/>
          <w:color w:val="auto"/>
          <w:kern w:val="2"/>
          <w:sz w:val="32"/>
          <w:szCs w:val="32"/>
          <w:highlight w:val="none"/>
          <w:lang w:val="en-US" w:eastAsia="zh-CN" w:bidi="ar-SA"/>
        </w:rPr>
        <w:t>1248.96</w:t>
      </w:r>
      <w:r>
        <w:rPr>
          <w:rFonts w:hint="eastAsia" w:ascii="Times New Roman" w:hAnsi="Times New Roman" w:eastAsia="仿宋_GB2312" w:cs="仿宋_GB2312"/>
          <w:color w:val="auto"/>
          <w:kern w:val="2"/>
          <w:sz w:val="32"/>
          <w:szCs w:val="32"/>
          <w:highlight w:val="none"/>
          <w:lang w:val="en-US" w:eastAsia="zh-CN" w:bidi="ar-SA"/>
        </w:rPr>
        <w:t>万元，其中：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eastAsia="仿宋_GB2312" w:cs="仿宋_GB2312"/>
          <w:color w:val="auto"/>
          <w:kern w:val="2"/>
          <w:sz w:val="32"/>
          <w:szCs w:val="32"/>
          <w:highlight w:val="none"/>
          <w:lang w:val="en-US" w:eastAsia="zh-CN" w:bidi="ar-SA"/>
        </w:rPr>
        <w:t>1131.9</w:t>
      </w:r>
      <w:r>
        <w:rPr>
          <w:rFonts w:hint="eastAsia" w:ascii="Times New Roman" w:hAnsi="Times New Roman" w:eastAsia="仿宋_GB2312" w:cs="仿宋_GB2312"/>
          <w:color w:val="auto"/>
          <w:kern w:val="2"/>
          <w:sz w:val="32"/>
          <w:szCs w:val="32"/>
          <w:highlight w:val="none"/>
          <w:lang w:val="en-US" w:eastAsia="zh-CN" w:bidi="ar-SA"/>
        </w:rPr>
        <w:t>万元，主要包括：基本工资、津贴补贴、奖金、</w:t>
      </w:r>
      <w:r>
        <w:rPr>
          <w:rFonts w:hint="eastAsia" w:eastAsia="仿宋_GB2312" w:cs="仿宋_GB2312"/>
          <w:color w:val="auto"/>
          <w:kern w:val="2"/>
          <w:sz w:val="32"/>
          <w:szCs w:val="32"/>
          <w:highlight w:val="none"/>
          <w:lang w:val="en-US" w:eastAsia="zh-CN" w:bidi="ar-SA"/>
        </w:rPr>
        <w:t>绩效工资、</w:t>
      </w:r>
      <w:r>
        <w:rPr>
          <w:rFonts w:hint="eastAsia" w:ascii="Times New Roman" w:hAnsi="Times New Roman" w:eastAsia="仿宋_GB2312" w:cs="仿宋_GB2312"/>
          <w:color w:val="auto"/>
          <w:kern w:val="2"/>
          <w:sz w:val="32"/>
          <w:szCs w:val="32"/>
          <w:highlight w:val="none"/>
          <w:lang w:val="en-US" w:eastAsia="zh-CN" w:bidi="ar-SA"/>
        </w:rPr>
        <w:t>机关事业单位基本养老保险缴费、职业年金缴费、职工基本医疗保险缴费、公务员医疗补助缴费、其他社会保障缴费、住房公积金、</w:t>
      </w:r>
      <w:r>
        <w:rPr>
          <w:rFonts w:hint="eastAsia" w:eastAsia="仿宋_GB2312" w:cs="仿宋_GB2312"/>
          <w:color w:val="auto"/>
          <w:kern w:val="2"/>
          <w:sz w:val="32"/>
          <w:szCs w:val="32"/>
          <w:highlight w:val="none"/>
          <w:lang w:val="en-US" w:eastAsia="zh-CN" w:bidi="ar-SA"/>
        </w:rPr>
        <w:t>其他工资福利支出、</w:t>
      </w:r>
      <w:r>
        <w:rPr>
          <w:rFonts w:hint="eastAsia" w:ascii="Times New Roman" w:hAnsi="Times New Roman" w:eastAsia="仿宋_GB2312" w:cs="仿宋_GB2312"/>
          <w:color w:val="auto"/>
          <w:kern w:val="2"/>
          <w:sz w:val="32"/>
          <w:szCs w:val="32"/>
          <w:highlight w:val="none"/>
          <w:lang w:val="en-US" w:eastAsia="zh-CN" w:bidi="ar-SA"/>
        </w:rPr>
        <w:t>对个人和家庭的补助、生活补助、医疗费补助、奖励金、其他对个人和家庭的补助支出等。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eastAsia="仿宋_GB2312" w:cs="仿宋_GB2312"/>
          <w:color w:val="auto"/>
          <w:kern w:val="2"/>
          <w:sz w:val="32"/>
          <w:szCs w:val="32"/>
          <w:highlight w:val="none"/>
          <w:lang w:val="en-US" w:eastAsia="zh-CN" w:bidi="ar-SA"/>
        </w:rPr>
        <w:t>117.07</w:t>
      </w:r>
      <w:r>
        <w:rPr>
          <w:rFonts w:hint="eastAsia" w:ascii="Times New Roman" w:hAnsi="Times New Roman" w:eastAsia="仿宋_GB2312" w:cs="仿宋_GB2312"/>
          <w:color w:val="auto"/>
          <w:kern w:val="2"/>
          <w:sz w:val="32"/>
          <w:szCs w:val="32"/>
          <w:highlight w:val="none"/>
          <w:lang w:val="en-US" w:eastAsia="zh-CN" w:bidi="ar-SA"/>
        </w:rPr>
        <w:t>万元，主要包括：办公费、水费、电费、邮电费、物业管理费、差旅费、维修（护）费、会议费、培训费、公务接待费、劳务费、工会经费、福利费、公务用车运行维护费、其他交通费、其他商品和服务支出等。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outlineLvl w:val="1"/>
        <w:rPr>
          <w:rStyle w:val="21"/>
          <w:rFonts w:ascii="Times New Roman" w:hAnsi="Times New Roman" w:eastAsia="黑体"/>
          <w:b w:val="0"/>
          <w:color w:val="auto"/>
          <w:highlight w:val="none"/>
        </w:rPr>
      </w:pPr>
      <w:bookmarkStart w:id="46" w:name="_Toc15396609"/>
      <w:bookmarkStart w:id="47" w:name="_Toc15377215"/>
      <w:r>
        <w:rPr>
          <w:rFonts w:hint="eastAsia" w:ascii="Times New Roman" w:hAnsi="Times New Roman" w:eastAsia="黑体"/>
          <w:color w:val="auto"/>
          <w:sz w:val="32"/>
          <w:szCs w:val="32"/>
          <w:highlight w:val="none"/>
        </w:rPr>
        <w:t>七、</w:t>
      </w:r>
      <w:r>
        <w:rPr>
          <w:rStyle w:val="21"/>
          <w:rFonts w:hint="eastAsia" w:ascii="Times New Roman" w:hAnsi="Times New Roman" w:eastAsia="黑体"/>
          <w:b w:val="0"/>
          <w:color w:val="auto"/>
          <w:highlight w:val="none"/>
        </w:rPr>
        <w:t>财政拨款</w:t>
      </w:r>
      <w:r>
        <w:rPr>
          <w:rStyle w:val="21"/>
          <w:rFonts w:hint="eastAsia" w:ascii="Times New Roman" w:hAnsi="Times New Roman" w:eastAsia="黑体"/>
          <w:color w:val="auto"/>
          <w:highlight w:val="none"/>
        </w:rPr>
        <w:t>“</w:t>
      </w:r>
      <w:r>
        <w:rPr>
          <w:rStyle w:val="21"/>
          <w:rFonts w:hint="eastAsia" w:ascii="Times New Roman" w:hAnsi="Times New Roman" w:eastAsia="黑体"/>
          <w:b w:val="0"/>
          <w:color w:val="auto"/>
          <w:highlight w:val="none"/>
        </w:rPr>
        <w:t>三公”经费支出决算情况说明</w:t>
      </w:r>
      <w:bookmarkEnd w:id="46"/>
      <w:bookmarkEnd w:id="47"/>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年度“三公”经费财政拨款支出决算为</w:t>
      </w:r>
      <w:r>
        <w:rPr>
          <w:rFonts w:hint="eastAsia" w:eastAsia="仿宋_GB2312" w:cs="仿宋_GB2312"/>
          <w:color w:val="auto"/>
          <w:kern w:val="2"/>
          <w:sz w:val="32"/>
          <w:szCs w:val="32"/>
          <w:highlight w:val="none"/>
          <w:lang w:val="en-US" w:eastAsia="zh-CN" w:bidi="ar-SA"/>
        </w:rPr>
        <w:t>6.16</w:t>
      </w:r>
      <w:r>
        <w:rPr>
          <w:rFonts w:hint="eastAsia" w:ascii="Times New Roman" w:hAnsi="Times New Roman" w:eastAsia="仿宋_GB2312" w:cs="仿宋_GB2312"/>
          <w:color w:val="auto"/>
          <w:kern w:val="2"/>
          <w:sz w:val="32"/>
          <w:szCs w:val="32"/>
          <w:highlight w:val="none"/>
          <w:lang w:val="en-US" w:eastAsia="zh-CN" w:bidi="ar-SA"/>
        </w:rPr>
        <w:t>万元，完成预算100%，较上年度减少0.</w:t>
      </w:r>
      <w:r>
        <w:rPr>
          <w:rFonts w:hint="eastAsia" w:eastAsia="仿宋_GB2312" w:cs="仿宋_GB2312"/>
          <w:color w:val="auto"/>
          <w:kern w:val="2"/>
          <w:sz w:val="32"/>
          <w:szCs w:val="32"/>
          <w:highlight w:val="none"/>
          <w:lang w:val="en-US" w:eastAsia="zh-CN" w:bidi="ar-SA"/>
        </w:rPr>
        <w:t>86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12.3</w:t>
      </w:r>
      <w:r>
        <w:rPr>
          <w:rFonts w:hint="eastAsia" w:ascii="Times New Roman" w:hAnsi="Times New Roman" w:eastAsia="仿宋_GB2312" w:cs="仿宋_GB2312"/>
          <w:color w:val="auto"/>
          <w:kern w:val="2"/>
          <w:sz w:val="32"/>
          <w:szCs w:val="32"/>
          <w:highlight w:val="none"/>
          <w:lang w:val="en-US" w:eastAsia="zh-CN" w:bidi="ar-SA"/>
        </w:rPr>
        <w:t>%。决算数与预算数持平。</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年度“三公”经费财政拨款支出决算中，因公出国（境）费支出决算0万元，占0%；公务用车购置及运行维护费支出决算5.78万元，占</w:t>
      </w:r>
      <w:r>
        <w:rPr>
          <w:rFonts w:hint="eastAsia" w:eastAsia="仿宋_GB2312" w:cs="仿宋_GB2312"/>
          <w:color w:val="auto"/>
          <w:kern w:val="2"/>
          <w:sz w:val="32"/>
          <w:szCs w:val="32"/>
          <w:highlight w:val="none"/>
          <w:lang w:val="en-US" w:eastAsia="zh-CN" w:bidi="ar-SA"/>
        </w:rPr>
        <w:t>93.8</w:t>
      </w:r>
      <w:r>
        <w:rPr>
          <w:rFonts w:hint="eastAsia" w:ascii="Times New Roman" w:hAnsi="Times New Roman" w:eastAsia="仿宋_GB2312" w:cs="仿宋_GB2312"/>
          <w:color w:val="auto"/>
          <w:kern w:val="2"/>
          <w:sz w:val="32"/>
          <w:szCs w:val="32"/>
          <w:highlight w:val="none"/>
          <w:lang w:val="en-US" w:eastAsia="zh-CN" w:bidi="ar-SA"/>
        </w:rPr>
        <w:t>%；公务接待费支出决算</w:t>
      </w:r>
      <w:r>
        <w:rPr>
          <w:rFonts w:hint="eastAsia" w:eastAsia="仿宋_GB2312" w:cs="仿宋_GB2312"/>
          <w:color w:val="auto"/>
          <w:kern w:val="2"/>
          <w:sz w:val="32"/>
          <w:szCs w:val="32"/>
          <w:highlight w:val="none"/>
          <w:lang w:val="en-US" w:eastAsia="zh-CN" w:bidi="ar-SA"/>
        </w:rPr>
        <w:t>0.38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6.2</w:t>
      </w:r>
      <w:r>
        <w:rPr>
          <w:rFonts w:hint="eastAsia" w:ascii="Times New Roman" w:hAnsi="Times New Roman" w:eastAsia="仿宋_GB2312" w:cs="仿宋_GB2312"/>
          <w:color w:val="auto"/>
          <w:kern w:val="2"/>
          <w:sz w:val="32"/>
          <w:szCs w:val="32"/>
          <w:highlight w:val="none"/>
          <w:lang w:val="en-US" w:eastAsia="zh-CN" w:bidi="ar-SA"/>
        </w:rPr>
        <w:t>%。具体情况如下：</w:t>
      </w:r>
    </w:p>
    <w:p>
      <w:pPr>
        <w:spacing w:line="240" w:lineRule="auto"/>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1024" behindDoc="0" locked="0" layoutInCell="1" allowOverlap="1">
            <wp:simplePos x="0" y="0"/>
            <wp:positionH relativeFrom="column">
              <wp:posOffset>163195</wp:posOffset>
            </wp:positionH>
            <wp:positionV relativeFrom="paragraph">
              <wp:posOffset>277495</wp:posOffset>
            </wp:positionV>
            <wp:extent cx="4505325" cy="2257425"/>
            <wp:effectExtent l="0" t="0" r="0" b="0"/>
            <wp:wrapSquare wrapText="bothSides"/>
            <wp:docPr id="31" name="图片 14" descr="2025图表"/>
            <wp:cNvGraphicFramePr/>
            <a:graphic xmlns:a="http://schemas.openxmlformats.org/drawingml/2006/main">
              <a:graphicData uri="http://schemas.openxmlformats.org/drawingml/2006/picture">
                <pic:pic xmlns:pic="http://schemas.openxmlformats.org/drawingml/2006/picture">
                  <pic:nvPicPr>
                    <pic:cNvPr id="31" name="图片 14" descr="2025图表"/>
                    <pic:cNvPicPr/>
                  </pic:nvPicPr>
                  <pic:blipFill>
                    <a:blip r:embed="rId15"/>
                    <a:stretch>
                      <a:fillRect/>
                    </a:stretch>
                  </pic:blipFill>
                  <pic:spPr>
                    <a:xfrm>
                      <a:off x="0" y="0"/>
                      <a:ext cx="4505325" cy="2257425"/>
                    </a:xfrm>
                    <a:prstGeom prst="rect">
                      <a:avLst/>
                    </a:prstGeom>
                    <a:noFill/>
                    <a:ln w="9525" cap="flat" cmpd="sng">
                      <a:noFill/>
                      <a:prstDash val="solid"/>
                      <a:miter/>
                    </a:ln>
                  </pic:spPr>
                </pic:pic>
              </a:graphicData>
            </a:graphic>
          </wp:anchor>
        </w:drawing>
      </w:r>
    </w:p>
    <w:p>
      <w:pPr>
        <w:spacing w:line="600" w:lineRule="exact"/>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 xml:space="preserve">    </w:t>
      </w:r>
    </w:p>
    <w:p>
      <w:pPr>
        <w:spacing w:line="600" w:lineRule="exact"/>
        <w:rPr>
          <w:rFonts w:hint="eastAsia" w:eastAsia="仿宋_GB2312" w:cs="仿宋_GB2312"/>
          <w:color w:val="auto"/>
          <w:kern w:val="2"/>
          <w:sz w:val="32"/>
          <w:szCs w:val="32"/>
          <w:highlight w:val="none"/>
          <w:lang w:val="en-US" w:eastAsia="zh-CN" w:bidi="ar-SA"/>
        </w:rPr>
      </w:pPr>
    </w:p>
    <w:p>
      <w:pPr>
        <w:spacing w:line="600" w:lineRule="exact"/>
        <w:rPr>
          <w:rFonts w:hint="eastAsia" w:eastAsia="仿宋_GB2312" w:cs="仿宋_GB2312"/>
          <w:color w:val="auto"/>
          <w:kern w:val="2"/>
          <w:sz w:val="32"/>
          <w:szCs w:val="32"/>
          <w:highlight w:val="none"/>
          <w:lang w:val="en-US" w:eastAsia="zh-CN" w:bidi="ar-SA"/>
        </w:rPr>
      </w:pPr>
    </w:p>
    <w:p>
      <w:pPr>
        <w:spacing w:line="600" w:lineRule="exact"/>
        <w:rPr>
          <w:rFonts w:hint="eastAsia" w:eastAsia="仿宋_GB2312" w:cs="仿宋_GB2312"/>
          <w:color w:val="auto"/>
          <w:kern w:val="2"/>
          <w:sz w:val="32"/>
          <w:szCs w:val="32"/>
          <w:highlight w:val="none"/>
          <w:lang w:val="en-US" w:eastAsia="zh-CN" w:bidi="ar-SA"/>
        </w:rPr>
      </w:pPr>
    </w:p>
    <w:p>
      <w:pPr>
        <w:spacing w:line="600" w:lineRule="exact"/>
        <w:rPr>
          <w:rFonts w:hint="eastAsia" w:eastAsia="仿宋_GB2312" w:cs="仿宋_GB2312"/>
          <w:color w:val="auto"/>
          <w:kern w:val="2"/>
          <w:sz w:val="32"/>
          <w:szCs w:val="32"/>
          <w:highlight w:val="none"/>
          <w:lang w:val="en-US" w:eastAsia="zh-CN" w:bidi="ar-SA"/>
        </w:rPr>
      </w:pPr>
    </w:p>
    <w:p>
      <w:pPr>
        <w:spacing w:line="600" w:lineRule="exact"/>
        <w:rPr>
          <w:rFonts w:hint="eastAsia" w:eastAsia="仿宋_GB2312" w:cs="仿宋_GB2312"/>
          <w:color w:val="auto"/>
          <w:kern w:val="2"/>
          <w:sz w:val="32"/>
          <w:szCs w:val="32"/>
          <w:highlight w:val="none"/>
          <w:lang w:val="en-US" w:eastAsia="zh-CN" w:bidi="ar-SA"/>
        </w:rPr>
      </w:pPr>
    </w:p>
    <w:p>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 xml:space="preserve">        </w:t>
      </w:r>
      <w:r>
        <w:rPr>
          <w:rFonts w:hint="eastAsia" w:ascii="Times New Roman" w:hAnsi="Times New Roman" w:eastAsia="仿宋_GB2312" w:cs="仿宋_GB2312"/>
          <w:color w:val="auto"/>
          <w:kern w:val="2"/>
          <w:sz w:val="32"/>
          <w:szCs w:val="32"/>
          <w:highlight w:val="none"/>
          <w:lang w:val="en-US" w:eastAsia="zh-CN" w:bidi="ar-SA"/>
        </w:rPr>
        <w:t>（图7：“三公”经费财政拨款支出结构）</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eastAsia="仿宋_GB2312" w:cs="仿宋_GB2312"/>
          <w:color w:val="auto"/>
          <w:kern w:val="2"/>
          <w:sz w:val="32"/>
          <w:szCs w:val="32"/>
          <w:highlight w:val="none"/>
          <w:lang w:val="en-US" w:eastAsia="zh-CN" w:bidi="ar-SA"/>
        </w:rPr>
        <w:t>组</w:t>
      </w:r>
      <w:r>
        <w:rPr>
          <w:rFonts w:hint="eastAsia" w:asci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w:t>
      </w:r>
      <w:r>
        <w:rPr>
          <w:rFonts w:hint="eastAsia" w:eastAsia="仿宋_GB2312" w:cs="仿宋_GB2312"/>
          <w:color w:val="auto"/>
          <w:kern w:val="2"/>
          <w:sz w:val="32"/>
          <w:szCs w:val="32"/>
          <w:highlight w:val="none"/>
          <w:lang w:val="en-US" w:eastAsia="zh-CN" w:bidi="ar-SA"/>
        </w:rPr>
        <w:t>与</w:t>
      </w:r>
      <w:r>
        <w:rPr>
          <w:rFonts w:hint="eastAsia"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年度持平。</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2.公务用车购置及运行维护费支出5.78万元，完成预算100%。</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w:t>
      </w:r>
      <w:r>
        <w:rPr>
          <w:rFonts w:hint="eastAsia" w:eastAsia="仿宋_GB2312" w:cs="仿宋_GB2312"/>
          <w:color w:val="auto"/>
          <w:kern w:val="2"/>
          <w:sz w:val="32"/>
          <w:szCs w:val="32"/>
          <w:highlight w:val="none"/>
          <w:lang w:val="en-US" w:eastAsia="zh-CN" w:bidi="ar-SA"/>
        </w:rPr>
        <w:t>持平。</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万元。截至202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年12月31日，单位共有公务用车</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0辆</w:t>
      </w:r>
      <w:r>
        <w:rPr>
          <w:rFonts w:hint="eastAsia" w:ascii="Times New Roman" w:hAnsi="Times New Roman" w:eastAsia="仿宋_GB2312" w:cs="仿宋_GB2312"/>
          <w:color w:val="auto"/>
          <w:kern w:val="2"/>
          <w:sz w:val="32"/>
          <w:szCs w:val="32"/>
          <w:highlight w:val="none"/>
          <w:lang w:val="en-US" w:eastAsia="zh-CN" w:bidi="ar-SA"/>
        </w:rPr>
        <w:t>、越野车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w:t>
      </w:r>
      <w:r>
        <w:rPr>
          <w:rFonts w:hint="eastAsia" w:eastAsia="仿宋_GB2312" w:cs="仿宋_GB2312"/>
          <w:color w:val="auto"/>
          <w:kern w:val="2"/>
          <w:sz w:val="32"/>
          <w:szCs w:val="32"/>
          <w:highlight w:val="none"/>
          <w:lang w:val="en-US" w:eastAsia="zh-CN" w:bidi="ar-SA"/>
        </w:rPr>
        <w:t>载货</w:t>
      </w:r>
      <w:r>
        <w:rPr>
          <w:rFonts w:hint="eastAsia" w:ascii="Times New Roman" w:hAnsi="Times New Roman" w:eastAsia="仿宋_GB2312" w:cs="仿宋_GB2312"/>
          <w:color w:val="auto"/>
          <w:kern w:val="2"/>
          <w:sz w:val="32"/>
          <w:szCs w:val="32"/>
          <w:highlight w:val="none"/>
          <w:lang w:val="en-US" w:eastAsia="zh-CN" w:bidi="ar-SA"/>
        </w:rPr>
        <w:t>汽车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w:t>
      </w:r>
      <w:r>
        <w:rPr>
          <w:rFonts w:hint="eastAsia" w:eastAsia="仿宋_GB2312" w:cs="仿宋_GB2312"/>
          <w:color w:val="auto"/>
          <w:kern w:val="2"/>
          <w:sz w:val="32"/>
          <w:szCs w:val="32"/>
          <w:highlight w:val="none"/>
          <w:lang w:val="en-US" w:eastAsia="zh-CN" w:bidi="ar-SA"/>
        </w:rPr>
        <w:t>、小型客车1</w:t>
      </w:r>
      <w:r>
        <w:rPr>
          <w:rFonts w:hint="eastAsia" w:ascii="Times New Roman" w:hAnsi="Times New Roman" w:eastAsia="仿宋_GB2312" w:cs="仿宋_GB2312"/>
          <w:color w:val="auto"/>
          <w:kern w:val="2"/>
          <w:sz w:val="32"/>
          <w:szCs w:val="32"/>
          <w:highlight w:val="none"/>
          <w:lang w:val="en-US" w:eastAsia="zh-CN" w:bidi="ar-SA"/>
        </w:rPr>
        <w:t>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公务用车运行维护费支出5.78万元。主要用于市容环卫、园林绿化、城管执法、燃气安全所需的公务用车燃料费、维修费、过路过桥费、保险费等支出。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eastAsia="仿宋_GB2312" w:cs="仿宋_GB2312"/>
          <w:b/>
          <w:bCs/>
          <w:color w:val="auto"/>
          <w:kern w:val="2"/>
          <w:sz w:val="32"/>
          <w:szCs w:val="32"/>
          <w:highlight w:val="none"/>
          <w:lang w:val="en-US" w:eastAsia="zh-CN" w:bidi="ar-SA"/>
        </w:rPr>
        <w:t>0.38</w:t>
      </w:r>
      <w:r>
        <w:rPr>
          <w:rFonts w:hint="eastAsia" w:ascii="Times New Roman" w:hAnsi="Times New Roman" w:eastAsia="仿宋_GB2312" w:cs="仿宋_GB2312"/>
          <w:b/>
          <w:bCs/>
          <w:color w:val="auto"/>
          <w:kern w:val="2"/>
          <w:sz w:val="32"/>
          <w:szCs w:val="32"/>
          <w:highlight w:val="none"/>
          <w:lang w:val="en-US" w:eastAsia="zh-CN" w:bidi="ar-SA"/>
        </w:rPr>
        <w:t>万元，完成预算100%。</w:t>
      </w:r>
      <w:r>
        <w:rPr>
          <w:rFonts w:hint="eastAsia" w:ascii="Times New Roman" w:hAnsi="Times New Roman" w:eastAsia="仿宋_GB2312" w:cs="仿宋_GB2312"/>
          <w:color w:val="auto"/>
          <w:kern w:val="2"/>
          <w:sz w:val="32"/>
          <w:szCs w:val="32"/>
          <w:highlight w:val="none"/>
          <w:lang w:val="en-US" w:eastAsia="zh-CN" w:bidi="ar-SA"/>
        </w:rPr>
        <w:t>公务接待费支出决算比202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年度减少</w:t>
      </w:r>
      <w:r>
        <w:rPr>
          <w:rFonts w:hint="eastAsia" w:eastAsia="仿宋_GB2312" w:cs="仿宋_GB2312"/>
          <w:color w:val="auto"/>
          <w:kern w:val="2"/>
          <w:sz w:val="32"/>
          <w:szCs w:val="32"/>
          <w:highlight w:val="none"/>
          <w:lang w:val="en-US" w:eastAsia="zh-CN" w:bidi="ar-SA"/>
        </w:rPr>
        <w:t>0.85</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69.1</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严格落实过紧日子要求，严控“三公”经费支出，缩减公务接待费用。</w:t>
      </w:r>
      <w:r>
        <w:rPr>
          <w:rFonts w:hint="eastAsia" w:ascii="Times New Roman" w:hAnsi="Times New Roman" w:eastAsia="仿宋_GB2312" w:cs="仿宋_GB2312"/>
          <w:color w:val="auto"/>
          <w:kern w:val="2"/>
          <w:sz w:val="32"/>
          <w:szCs w:val="32"/>
          <w:highlight w:val="none"/>
          <w:lang w:val="en-US" w:eastAsia="zh-CN" w:bidi="ar-SA"/>
        </w:rPr>
        <w:t>其中：</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jc w:val="both"/>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w:t>
      </w:r>
      <w:r>
        <w:rPr>
          <w:rFonts w:hint="eastAsia" w:eastAsia="仿宋_GB2312" w:cs="仿宋_GB2312"/>
          <w:color w:val="auto"/>
          <w:kern w:val="2"/>
          <w:sz w:val="32"/>
          <w:szCs w:val="32"/>
          <w:highlight w:val="none"/>
          <w:lang w:val="en-US" w:eastAsia="zh-CN" w:bidi="ar-SA"/>
        </w:rPr>
        <w:t>0.38</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执法改革、群众身边腐败问题</w:t>
      </w:r>
      <w:r>
        <w:rPr>
          <w:rFonts w:hint="eastAsia" w:ascii="Times New Roman" w:hAnsi="Times New Roman" w:eastAsia="仿宋_GB2312" w:cs="仿宋_GB2312"/>
          <w:color w:val="auto"/>
          <w:kern w:val="2"/>
          <w:sz w:val="32"/>
          <w:szCs w:val="32"/>
          <w:highlight w:val="none"/>
          <w:lang w:val="en-US" w:eastAsia="zh-CN" w:bidi="ar-SA"/>
        </w:rPr>
        <w:t>等方面</w:t>
      </w:r>
      <w:r>
        <w:rPr>
          <w:rFonts w:hint="eastAsia" w:eastAsia="仿宋_GB2312" w:cs="仿宋_GB2312"/>
          <w:color w:val="auto"/>
          <w:kern w:val="2"/>
          <w:sz w:val="32"/>
          <w:szCs w:val="32"/>
          <w:highlight w:val="none"/>
          <w:lang w:val="en-US" w:eastAsia="zh-CN" w:bidi="ar-SA"/>
        </w:rPr>
        <w:t>调研</w:t>
      </w:r>
      <w:r>
        <w:rPr>
          <w:rFonts w:hint="eastAsia" w:ascii="Times New Roman" w:hAnsi="Times New Roman" w:eastAsia="仿宋_GB2312" w:cs="仿宋_GB2312"/>
          <w:color w:val="auto"/>
          <w:kern w:val="2"/>
          <w:sz w:val="32"/>
          <w:szCs w:val="32"/>
          <w:highlight w:val="none"/>
          <w:lang w:val="en-US" w:eastAsia="zh-CN" w:bidi="ar-SA"/>
        </w:rPr>
        <w:t>的用餐费。国内公务接待</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eastAsia="仿宋_GB2312" w:cs="仿宋_GB2312"/>
          <w:color w:val="auto"/>
          <w:kern w:val="2"/>
          <w:sz w:val="32"/>
          <w:szCs w:val="32"/>
          <w:highlight w:val="none"/>
          <w:lang w:val="en-US" w:eastAsia="zh-CN" w:bidi="ar-SA"/>
        </w:rPr>
        <w:t>16</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0.38</w:t>
      </w:r>
      <w:r>
        <w:rPr>
          <w:rFonts w:hint="eastAsia" w:ascii="Times New Roman" w:hAnsi="Times New Roman" w:eastAsia="仿宋_GB2312" w:cs="仿宋_GB2312"/>
          <w:color w:val="auto"/>
          <w:kern w:val="2"/>
          <w:sz w:val="32"/>
          <w:szCs w:val="32"/>
          <w:highlight w:val="none"/>
          <w:lang w:val="en-US" w:eastAsia="zh-CN" w:bidi="ar-SA"/>
        </w:rPr>
        <w:t>万元，具体包括：1.接待省</w:t>
      </w:r>
      <w:r>
        <w:rPr>
          <w:rFonts w:hint="eastAsia" w:eastAsia="仿宋_GB2312" w:cs="仿宋_GB2312"/>
          <w:color w:val="auto"/>
          <w:kern w:val="2"/>
          <w:sz w:val="32"/>
          <w:szCs w:val="32"/>
          <w:highlight w:val="none"/>
          <w:lang w:val="en-US" w:eastAsia="zh-CN" w:bidi="ar-SA"/>
        </w:rPr>
        <w:t>住建厅来攀开展住建领域“防风险、稳增长、保安全”综合调研5</w:t>
      </w:r>
      <w:r>
        <w:rPr>
          <w:rFonts w:hint="eastAsia" w:ascii="Times New Roman" w:hAnsi="Times New Roman" w:eastAsia="仿宋_GB2312" w:cs="仿宋_GB2312"/>
          <w:color w:val="auto"/>
          <w:kern w:val="2"/>
          <w:sz w:val="32"/>
          <w:szCs w:val="32"/>
          <w:highlight w:val="none"/>
          <w:lang w:val="en-US" w:eastAsia="zh-CN" w:bidi="ar-SA"/>
        </w:rPr>
        <w:t>人工作餐支出</w:t>
      </w:r>
      <w:r>
        <w:rPr>
          <w:rFonts w:hint="eastAsia" w:eastAsia="仿宋_GB2312" w:cs="仿宋_GB2312"/>
          <w:color w:val="auto"/>
          <w:kern w:val="2"/>
          <w:sz w:val="32"/>
          <w:szCs w:val="32"/>
          <w:highlight w:val="none"/>
          <w:lang w:val="en-US" w:eastAsia="zh-CN" w:bidi="ar-SA"/>
        </w:rPr>
        <w:t>0.12</w:t>
      </w:r>
      <w:r>
        <w:rPr>
          <w:rFonts w:hint="eastAsia" w:ascii="Times New Roman" w:hAnsi="Times New Roman" w:eastAsia="仿宋_GB2312" w:cs="仿宋_GB2312"/>
          <w:color w:val="auto"/>
          <w:kern w:val="2"/>
          <w:sz w:val="32"/>
          <w:szCs w:val="32"/>
          <w:highlight w:val="none"/>
          <w:lang w:val="en-US" w:eastAsia="zh-CN" w:bidi="ar-SA"/>
        </w:rPr>
        <w:t>万元；2.接待</w:t>
      </w:r>
      <w:r>
        <w:rPr>
          <w:rFonts w:hint="eastAsia" w:eastAsia="仿宋_GB2312" w:cs="仿宋_GB2312"/>
          <w:color w:val="auto"/>
          <w:kern w:val="2"/>
          <w:sz w:val="32"/>
          <w:szCs w:val="32"/>
          <w:highlight w:val="none"/>
          <w:lang w:val="en-US" w:eastAsia="zh-CN" w:bidi="ar-SA"/>
        </w:rPr>
        <w:t>住建厅调研组赴攀开展城管执法改革调研</w:t>
      </w:r>
      <w:r>
        <w:rPr>
          <w:rFonts w:hint="eastAsia" w:ascii="Times New Roman" w:hAnsi="Times New Roman" w:eastAsia="仿宋_GB2312" w:cs="仿宋_GB2312"/>
          <w:color w:val="auto"/>
          <w:kern w:val="2"/>
          <w:sz w:val="32"/>
          <w:szCs w:val="32"/>
          <w:highlight w:val="none"/>
          <w:lang w:val="en-US" w:eastAsia="zh-CN" w:bidi="ar-SA"/>
        </w:rPr>
        <w:t>4人工作餐支出</w:t>
      </w:r>
      <w:r>
        <w:rPr>
          <w:rFonts w:hint="eastAsia" w:eastAsia="仿宋_GB2312" w:cs="仿宋_GB2312"/>
          <w:color w:val="auto"/>
          <w:kern w:val="2"/>
          <w:sz w:val="32"/>
          <w:szCs w:val="32"/>
          <w:highlight w:val="none"/>
          <w:lang w:val="en-US" w:eastAsia="zh-CN" w:bidi="ar-SA"/>
        </w:rPr>
        <w:t>0.12</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3.接待省住建厅调研组来攀开展深化整治群众申报不正之风和腐败问题包联指导及农房抗震加固等7人工作餐支出0.14万元</w:t>
      </w:r>
      <w:r>
        <w:rPr>
          <w:rFonts w:hint="eastAsia" w:ascii="Times New Roman" w:hAnsi="Times New Roman" w:eastAsia="仿宋_GB2312" w:cs="仿宋_GB2312"/>
          <w:color w:val="auto"/>
          <w:kern w:val="2"/>
          <w:sz w:val="32"/>
          <w:szCs w:val="32"/>
          <w:highlight w:val="none"/>
          <w:lang w:val="en-US" w:eastAsia="zh-CN" w:bidi="ar-SA"/>
        </w:rPr>
        <w:t>。</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jc w:val="both"/>
        <w:outlineLvl w:val="9"/>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外事接待支出0万元。外事接待0批次，0人次，共计支出0万元。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50" w:name="_Toc15377218"/>
      <w:bookmarkStart w:id="51" w:name="_Toc15396610"/>
    </w:p>
    <w:p>
      <w:pPr>
        <w:spacing w:line="600" w:lineRule="exact"/>
        <w:ind w:firstLine="640"/>
        <w:outlineLvl w:val="1"/>
        <w:rPr>
          <w:rStyle w:val="21"/>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1"/>
          <w:rFonts w:hint="eastAsia" w:ascii="Times New Roman" w:hAnsi="Times New Roman" w:eastAsia="黑体"/>
          <w:b w:val="0"/>
          <w:color w:val="auto"/>
          <w:highlight w:val="none"/>
        </w:rPr>
        <w:t>政府性基金预算支出决算情况说明</w:t>
      </w:r>
      <w:bookmarkEnd w:id="50"/>
      <w:bookmarkEnd w:id="51"/>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jc w:val="both"/>
        <w:outlineLvl w:val="9"/>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2025年度政府性基金预算财政拨款支出0万元，占本年支出合计的0%。</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left="630"/>
        <w:outlineLvl w:val="1"/>
        <w:rPr>
          <w:rStyle w:val="21"/>
          <w:rFonts w:ascii="Times New Roman" w:hAnsi="Times New Roman" w:eastAsia="黑体"/>
          <w:b w:val="0"/>
          <w:color w:val="auto"/>
          <w:highlight w:val="none"/>
        </w:rPr>
      </w:pPr>
      <w:bookmarkStart w:id="52" w:name="_Toc15377219"/>
      <w:bookmarkStart w:id="53" w:name="_Toc15396611"/>
      <w:r>
        <w:rPr>
          <w:rStyle w:val="21"/>
          <w:rFonts w:hint="eastAsia" w:ascii="Times New Roman" w:hAnsi="Times New Roman" w:eastAsia="黑体"/>
          <w:b w:val="0"/>
          <w:color w:val="auto"/>
          <w:highlight w:val="none"/>
          <w:lang w:eastAsia="zh-CN"/>
        </w:rPr>
        <w:t>九、</w:t>
      </w:r>
      <w:r>
        <w:rPr>
          <w:rStyle w:val="21"/>
          <w:rFonts w:hint="eastAsia" w:ascii="Times New Roman" w:hAnsi="Times New Roman" w:eastAsia="黑体"/>
          <w:b w:val="0"/>
          <w:color w:val="auto"/>
          <w:highlight w:val="none"/>
        </w:rPr>
        <w:t>国有资本经营预算支出决算情况说明</w:t>
      </w:r>
      <w:bookmarkEnd w:id="52"/>
      <w:bookmarkEnd w:id="53"/>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jc w:val="both"/>
        <w:outlineLvl w:val="9"/>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2025年度国有资本经营预算财政拨款支出0万元，占本年支出合计的0%。</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jc w:val="both"/>
        <w:outlineLvl w:val="9"/>
        <w:rPr>
          <w:rFonts w:hint="eastAsia" w:eastAsia="仿宋_GB2312" w:cs="仿宋_GB2312"/>
          <w:color w:val="auto"/>
          <w:kern w:val="2"/>
          <w:sz w:val="32"/>
          <w:szCs w:val="32"/>
          <w:highlight w:val="none"/>
          <w:lang w:val="en-US" w:eastAsia="zh-CN" w:bidi="ar-SA"/>
        </w:rPr>
      </w:pPr>
    </w:p>
    <w:p>
      <w:pPr>
        <w:spacing w:line="600" w:lineRule="exact"/>
        <w:ind w:left="630"/>
        <w:outlineLvl w:val="1"/>
        <w:rPr>
          <w:rStyle w:val="21"/>
          <w:rFonts w:hint="eastAsia" w:ascii="Times New Roman" w:hAnsi="Times New Roman" w:eastAsia="黑体"/>
          <w:b w:val="0"/>
          <w:color w:val="auto"/>
          <w:highlight w:val="none"/>
        </w:rPr>
      </w:pPr>
      <w:bookmarkStart w:id="54" w:name="_Toc15377221"/>
      <w:bookmarkStart w:id="55" w:name="_Toc15396612"/>
      <w:r>
        <w:rPr>
          <w:rStyle w:val="21"/>
          <w:rFonts w:hint="eastAsia" w:ascii="Times New Roman" w:hAnsi="Times New Roman" w:eastAsia="黑体"/>
          <w:b w:val="0"/>
          <w:color w:val="auto"/>
          <w:highlight w:val="none"/>
          <w:lang w:eastAsia="zh-CN"/>
        </w:rPr>
        <w:t>十、</w:t>
      </w:r>
      <w:r>
        <w:rPr>
          <w:rStyle w:val="21"/>
          <w:rFonts w:hint="eastAsia" w:ascii="Times New Roman" w:hAnsi="Times New Roman" w:eastAsia="黑体"/>
          <w:b w:val="0"/>
          <w:color w:val="auto"/>
          <w:highlight w:val="none"/>
        </w:rPr>
        <w:t>其他重要事项的情况说明</w:t>
      </w:r>
      <w:bookmarkEnd w:id="54"/>
      <w:bookmarkEnd w:id="55"/>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6" w:name="_Toc15377222"/>
      <w:r>
        <w:rPr>
          <w:rFonts w:hint="eastAsia" w:ascii="Times New Roman" w:hAnsi="Times New Roman" w:eastAsia="楷体_GB2312" w:cs="楷体_GB2312"/>
          <w:b/>
          <w:color w:val="auto"/>
          <w:sz w:val="32"/>
          <w:szCs w:val="32"/>
          <w:highlight w:val="none"/>
        </w:rPr>
        <w:t>（一）机关运行经费支出情况</w:t>
      </w:r>
      <w:bookmarkEnd w:id="56"/>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jc w:val="both"/>
        <w:outlineLvl w:val="9"/>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2025年度，四川省攀枝花市城市管理行政执法局机关运行经费支出111.33万元，比2024年度减少8.07万元，降低6.8%。主要原因是严格落实过紧日子要求，缩紧机关运行经费。</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7" w:name="_Toc15377223"/>
      <w:r>
        <w:rPr>
          <w:rFonts w:hint="eastAsia" w:ascii="Times New Roman" w:hAnsi="Times New Roman" w:eastAsia="楷体_GB2312" w:cs="楷体_GB2312"/>
          <w:b/>
          <w:color w:val="auto"/>
          <w:sz w:val="32"/>
          <w:szCs w:val="32"/>
          <w:highlight w:val="none"/>
        </w:rPr>
        <w:t>（二）政府采购支出情况</w:t>
      </w:r>
      <w:bookmarkEnd w:id="57"/>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jc w:val="both"/>
        <w:outlineLvl w:val="9"/>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2025年度，四川省攀枝花市城市管理行政执法局（本级）政府采购支出总额254.62万元，其中：政府采购货物支出0万元、政府采购工程支出0万元、政府采购服务支出254.62万元。主要用于</w:t>
      </w:r>
      <w:r>
        <w:rPr>
          <w:rFonts w:eastAsia="仿宋_GB2312" w:cs="仿宋_GB2312"/>
          <w:color w:val="auto"/>
          <w:kern w:val="2"/>
          <w:sz w:val="32"/>
          <w:szCs w:val="32"/>
          <w:highlight w:val="none"/>
          <w:lang w:eastAsia="zh-CN" w:bidi="ar-SA"/>
        </w:rPr>
        <w:t>道路绿化养护、</w:t>
      </w:r>
      <w:r>
        <w:rPr>
          <w:rFonts w:hint="eastAsia" w:eastAsia="仿宋_GB2312" w:cs="仿宋_GB2312"/>
          <w:color w:val="auto"/>
          <w:kern w:val="2"/>
          <w:sz w:val="32"/>
          <w:szCs w:val="32"/>
          <w:highlight w:val="none"/>
          <w:lang w:val="en-US" w:eastAsia="zh-CN" w:bidi="ar-SA"/>
        </w:rPr>
        <w:t>园林物资循环站生产养护、攀枝花市“四季花城”绿化专项规划编制、《攀枝花市生活垃圾分类管理办法》立法等。授予中小企业合同金额254.62万元，占政府采购支出总额的100%，其中：授予小微企业合同金额125.57万元，占政府采购支出总额的49.3%。</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8" w:name="_Toc15377224"/>
      <w:r>
        <w:rPr>
          <w:rFonts w:hint="eastAsia" w:ascii="Times New Roman" w:hAnsi="Times New Roman" w:eastAsia="楷体_GB2312" w:cs="楷体_GB2312"/>
          <w:b/>
          <w:color w:val="auto"/>
          <w:sz w:val="32"/>
          <w:szCs w:val="32"/>
          <w:highlight w:val="none"/>
        </w:rPr>
        <w:t>（三）国有资产占有使用情况</w:t>
      </w:r>
      <w:bookmarkEnd w:id="58"/>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jc w:val="both"/>
        <w:outlineLvl w:val="9"/>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截至2025年12月31日，四川省攀枝花市城市管理行政执法局（本级）共有车辆3辆，其中：主要负责人用车0辆、机要通信用车1辆、特种专业技术用车2辆、其他用车0辆。单价100万元（含）以上设备（不含车辆）0台（套）。</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jc w:val="both"/>
        <w:outlineLvl w:val="9"/>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根据预算绩效管理要求，攀枝花市城市管理行政执法局在2025年度预算编制阶段，组织对攀枝花市“四季花城”绿化专项规划编制项目</w:t>
      </w:r>
      <w:r>
        <w:rPr>
          <w:rFonts w:eastAsia="仿宋_GB2312" w:cs="仿宋_GB2312"/>
          <w:color w:val="auto"/>
          <w:kern w:val="2"/>
          <w:sz w:val="32"/>
          <w:szCs w:val="32"/>
          <w:highlight w:val="none"/>
          <w:lang w:val="en-US" w:eastAsia="zh-CN" w:bidi="ar-SA"/>
        </w:rPr>
        <w:t>涉及金额100万元</w:t>
      </w:r>
      <w:r>
        <w:rPr>
          <w:rFonts w:hint="eastAsia" w:eastAsia="仿宋_GB2312" w:cs="仿宋_GB2312"/>
          <w:color w:val="auto"/>
          <w:kern w:val="2"/>
          <w:sz w:val="32"/>
          <w:szCs w:val="32"/>
          <w:highlight w:val="none"/>
          <w:lang w:val="en-US" w:eastAsia="zh-CN" w:bidi="ar-SA"/>
        </w:rPr>
        <w:t>开展了预算事前绩效评估，对13个项目编制了绩效目标，预算执行过程中，选取13个项目开展绩效监控。</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年度一般公共预算开展绩效自评，形成</w:t>
      </w:r>
      <w:r>
        <w:rPr>
          <w:rFonts w:hint="eastAsia" w:eastAsia="仿宋_GB2312" w:cs="仿宋_GB2312"/>
          <w:color w:val="auto"/>
          <w:kern w:val="2"/>
          <w:sz w:val="32"/>
          <w:szCs w:val="32"/>
          <w:highlight w:val="none"/>
          <w:lang w:val="en-US" w:eastAsia="zh-CN" w:bidi="ar-SA"/>
        </w:rPr>
        <w:t>攀枝花市城市管理行政执法局</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w:t>
      </w:r>
      <w:r>
        <w:rPr>
          <w:rFonts w:ascii="Times New Roman" w:hAnsi="Times New Roman"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lang w:val="en-US" w:eastAsia="zh-CN" w:bidi="ar-SA"/>
        </w:rPr>
        <w:t>办公楼维修加固工程、园林物资循环站生产养护费用、金沙江大道东段等12条主干道绿化养护等专项预算项目绩效自评报告，</w:t>
      </w:r>
      <w:r>
        <w:rPr>
          <w:rFonts w:hint="eastAsia" w:ascii="Times New Roman" w:hAnsi="Times New Roman" w:eastAsia="仿宋_GB2312" w:cs="仿宋_GB2312"/>
          <w:color w:val="auto"/>
          <w:kern w:val="2"/>
          <w:sz w:val="32"/>
          <w:szCs w:val="32"/>
          <w:highlight w:val="none"/>
          <w:lang w:val="en-US" w:eastAsia="zh-CN" w:bidi="ar-SA"/>
        </w:rPr>
        <w:t>其中，</w:t>
      </w:r>
      <w:r>
        <w:rPr>
          <w:rFonts w:hint="eastAsia" w:eastAsia="仿宋_GB2312" w:cs="仿宋_GB2312"/>
          <w:color w:val="auto"/>
          <w:kern w:val="2"/>
          <w:sz w:val="32"/>
          <w:szCs w:val="32"/>
          <w:highlight w:val="none"/>
          <w:lang w:val="en-US" w:eastAsia="zh-CN" w:bidi="ar-SA"/>
        </w:rPr>
        <w:t>攀枝花市城市管理行政执法局</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94.58</w:t>
      </w:r>
      <w:r>
        <w:rPr>
          <w:rFonts w:hint="eastAsia" w:ascii="Times New Roman" w:hAnsi="Times New Roman" w:eastAsia="仿宋_GB2312" w:cs="仿宋_GB2312"/>
          <w:color w:val="auto"/>
          <w:kern w:val="2"/>
          <w:sz w:val="32"/>
          <w:szCs w:val="32"/>
          <w:highlight w:val="none"/>
          <w:lang w:val="en-US" w:eastAsia="zh-CN" w:bidi="ar-SA"/>
        </w:rPr>
        <w:t>分，绩效自评综述我单位绩效目标编制要素完整、绩效指标做到了细化、量化，单个数量指标实际完成达到预期指标基本完成了既定的绩效目标，较全面的实现了预算和绩效管理一体化，整体支出管理水平得到提升。</w:t>
      </w:r>
      <w:r>
        <w:rPr>
          <w:rFonts w:ascii="Times New Roman" w:hAnsi="Times New Roman" w:eastAsia="仿宋_GB2312" w:cs="仿宋_GB2312"/>
          <w:color w:val="auto"/>
          <w:kern w:val="2"/>
          <w:sz w:val="32"/>
          <w:szCs w:val="32"/>
          <w:lang w:val="en-US" w:eastAsia="zh-CN" w:bidi="ar-SA"/>
        </w:rPr>
        <w:t>金沙江大道东段等12条主干道绿化养护专项预算项目绩效自评得分95分，绩效自评综述：通过对金沙江大道东段等12条主干道绿化养护项目，环境卫生标准提升度明显，进一步为广大居民营造了干净、舒适的环境，促进了社会和谐，改善城市绿化生态环境，提升城市品位，城市绿化景观对降温增湿、改善光照、净化空气、降低噪音有一定生态效果，有助于改善全市生态环境。不仅提升了环境卫生质量，还在城市可持续发展中发挥着重要作用；攀枝花公园和竹湖园公园环卫保洁项目绩效自评得分96分，绩效自评综述：通过实施该项目，攀枝花公园和竹湖园公园环境卫生标准提升度明显，进一步为广大居民营造了干净、舒适的环境，促进了社会和谐；改善城市绿化生态环境，提升城市品位；不仅提升了环境卫生质量，还在城市可持续发展中发挥着重要作用。</w:t>
      </w:r>
    </w:p>
    <w:p>
      <w:pPr>
        <w:spacing w:line="600" w:lineRule="exact"/>
        <w:jc w:val="center"/>
        <w:outlineLvl w:val="0"/>
        <w:rPr>
          <w:rFonts w:hint="eastAsia" w:ascii="Times New Roman" w:hAnsi="Times New Roman" w:eastAsia="黑体"/>
          <w:color w:val="auto"/>
          <w:sz w:val="44"/>
          <w:szCs w:val="44"/>
          <w:highlight w:val="none"/>
        </w:rPr>
      </w:pPr>
      <w:bookmarkStart w:id="59" w:name="_Toc15377225"/>
      <w:bookmarkStart w:id="60" w:name="_Toc15396613"/>
    </w:p>
    <w:p>
      <w:pPr>
        <w:spacing w:line="600" w:lineRule="exact"/>
        <w:jc w:val="center"/>
        <w:outlineLvl w:val="0"/>
        <w:rPr>
          <w:rFonts w:hint="eastAsia" w:ascii="Times New Roman" w:hAnsi="Times New Roman" w:eastAsia="黑体"/>
          <w:color w:val="auto"/>
          <w:sz w:val="44"/>
          <w:szCs w:val="44"/>
          <w:highlight w:val="none"/>
        </w:rPr>
      </w:pPr>
    </w:p>
    <w:p>
      <w:p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9"/>
      <w:bookmarkEnd w:id="60"/>
    </w:p>
    <w:p>
      <w:pPr>
        <w:spacing w:line="600" w:lineRule="exact"/>
        <w:jc w:val="left"/>
        <w:rPr>
          <w:rFonts w:ascii="Times New Roman" w:hAnsi="Times New Roman"/>
          <w:b/>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bookmarkStart w:id="61" w:name="_Toc15377226"/>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2.一般公共</w:t>
      </w:r>
      <w:r>
        <w:rPr>
          <w:rFonts w:hint="eastAsia" w:eastAsia="仿宋_GB2312" w:cs="仿宋_GB2312"/>
          <w:color w:val="auto"/>
          <w:kern w:val="2"/>
          <w:sz w:val="32"/>
          <w:szCs w:val="32"/>
          <w:highlight w:val="none"/>
          <w:lang w:val="en-US" w:eastAsia="zh-CN" w:bidi="ar-SA"/>
        </w:rPr>
        <w:t>服务</w:t>
      </w:r>
      <w:r>
        <w:rPr>
          <w:rFonts w:hint="eastAsia" w:ascii="Times New Roman" w:hAnsi="Times New Roman" w:eastAsia="仿宋_GB2312" w:cs="仿宋_GB2312"/>
          <w:color w:val="auto"/>
          <w:kern w:val="2"/>
          <w:sz w:val="32"/>
          <w:szCs w:val="32"/>
          <w:highlight w:val="none"/>
          <w:lang w:val="en-US" w:eastAsia="zh-CN" w:bidi="ar-SA"/>
        </w:rPr>
        <w:t>支出（类）组织事务（款）其他组织事务支出（项）：指反映其他用于中国共产党组织部门的事务支出。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3.社会保障和就业（类）人力资源和社会保障管理事务（款）其他人力资源和社会保障管理事务（项）：指反映其他用于人力资源和社会保障管理事务方面的支出。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社会保障和就业（类）行政事业单位养老（款）行政单位离退休（项）:指反映行政单位（包括实行公务员管理的事业单位）开支的离退休经费。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.社会保障和就业（类）行政事业单位养老（款）机关事业单位基本养老保险缴费（项）:指机关事业单位实施养老保险制度由单位缴纳的基本养老保险费支出。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.社会保障和就业（类）行政事业单位养老（款）机关事业单位职业年金缴费（项）:指机关事业单位实施养老保险制度由单位实际缴纳的职业年金支出（含职业年金补记支出）。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.社会保障和就业（类）社会福利（款）儿童福利（项）:指对儿童提供福利服务方面的支出。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行政单位医疗（项）:指财政部门安排的行政单位（包括实行公务员管理的事业单位）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.卫生健康（类）行政事业单位医疗（款）公务员医疗补助（项）:指财政部门安排的公务员医疗补助经费。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.卫生健康（类）行政事业单位医疗（款）其他行政事业单位医疗（项）:指除行政单位医疗和公务员医疗补助以外的其他用于行政事业单位医疗方面的支出。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11.城乡社区（类）城乡社区管理事务（款）行政运行（项）:指行政单位（包括实行公务员管理的事业单位）的基本支出。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12.城乡社区（类）城乡社区管理事务（款）一般行政管理事务（项）:行政单位（包括实行公务中管理的事业单位）未单独设置项级科目的其他项目支出。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13.城乡社区（类）城乡社区管理事务（款）其他城乡社区管理事务（项）:指行政单位（包括实行公务员管理的事业单位）除行政运行和一般行政管理事务外的其他支出。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14.城乡社区（类）城乡社区环境卫生（款）城乡社区环境卫生（项）:指城乡社区道路清扫、垃圾清运与处理、公厕建设与维护、园林绿化等方面的支出。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eastAsia="仿宋_GB2312" w:cs="仿宋_GB2312"/>
          <w:color w:val="auto"/>
          <w:kern w:val="2"/>
          <w:sz w:val="32"/>
          <w:szCs w:val="32"/>
          <w:highlight w:val="none"/>
          <w:lang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eastAsia="仿宋_GB2312" w:cs="仿宋_GB2312"/>
          <w:color w:val="auto"/>
          <w:kern w:val="2"/>
          <w:sz w:val="32"/>
          <w:szCs w:val="32"/>
          <w:highlight w:val="none"/>
          <w:lang w:eastAsia="zh-CN" w:bidi="ar-SA"/>
        </w:rPr>
        <w:t>5.</w:t>
      </w:r>
      <w:r>
        <w:rPr>
          <w:rFonts w:hint="eastAsia" w:ascii="Times New Roman" w:hAnsi="Times New Roman" w:eastAsia="仿宋_GB2312" w:cs="仿宋_GB2312"/>
          <w:color w:val="auto"/>
          <w:kern w:val="2"/>
          <w:sz w:val="32"/>
          <w:szCs w:val="32"/>
          <w:highlight w:val="none"/>
          <w:lang w:val="en-US" w:eastAsia="zh-CN" w:bidi="ar-SA"/>
        </w:rPr>
        <w:t>城乡社区（类）</w:t>
      </w:r>
      <w:r>
        <w:rPr>
          <w:rFonts w:hint="eastAsia" w:eastAsia="仿宋_GB2312" w:cs="仿宋_GB2312"/>
          <w:color w:val="auto"/>
          <w:kern w:val="2"/>
          <w:sz w:val="32"/>
          <w:szCs w:val="32"/>
          <w:highlight w:val="none"/>
          <w:lang w:val="en-US" w:eastAsia="zh-CN" w:bidi="ar-SA"/>
        </w:rPr>
        <w:t>其他</w:t>
      </w:r>
      <w:r>
        <w:rPr>
          <w:rFonts w:hint="eastAsia" w:ascii="Times New Roman" w:hAnsi="Times New Roman" w:eastAsia="仿宋_GB2312" w:cs="仿宋_GB2312"/>
          <w:color w:val="auto"/>
          <w:kern w:val="2"/>
          <w:sz w:val="32"/>
          <w:szCs w:val="32"/>
          <w:highlight w:val="none"/>
          <w:lang w:val="en-US" w:eastAsia="zh-CN" w:bidi="ar-SA"/>
        </w:rPr>
        <w:t>城乡社区（款）</w:t>
      </w:r>
      <w:r>
        <w:rPr>
          <w:rFonts w:hint="eastAsia" w:eastAsia="仿宋_GB2312" w:cs="仿宋_GB2312"/>
          <w:color w:val="auto"/>
          <w:kern w:val="2"/>
          <w:sz w:val="32"/>
          <w:szCs w:val="32"/>
          <w:highlight w:val="none"/>
          <w:lang w:val="en-US" w:eastAsia="zh-CN" w:bidi="ar-SA"/>
        </w:rPr>
        <w:t>其他</w:t>
      </w:r>
      <w:r>
        <w:rPr>
          <w:rFonts w:hint="eastAsia" w:ascii="Times New Roman" w:hAnsi="Times New Roman" w:eastAsia="仿宋_GB2312" w:cs="仿宋_GB2312"/>
          <w:color w:val="auto"/>
          <w:kern w:val="2"/>
          <w:sz w:val="32"/>
          <w:szCs w:val="32"/>
          <w:highlight w:val="none"/>
          <w:lang w:val="en-US" w:eastAsia="zh-CN" w:bidi="ar-SA"/>
        </w:rPr>
        <w:t>城乡社区（项）:</w:t>
      </w:r>
      <w:r>
        <w:rPr>
          <w:rFonts w:hint="eastAsia" w:eastAsia="仿宋_GB2312" w:cs="仿宋_GB2312"/>
          <w:color w:val="auto"/>
          <w:kern w:val="2"/>
          <w:sz w:val="32"/>
          <w:szCs w:val="32"/>
          <w:highlight w:val="none"/>
          <w:lang w:val="en-US" w:eastAsia="zh-CN" w:bidi="ar-SA"/>
        </w:rPr>
        <w:t>指其他用于城乡社区方面的支出。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16.住房</w:t>
      </w:r>
      <w:r>
        <w:rPr>
          <w:rFonts w:hint="eastAsia" w:ascii="Times New Roman" w:hAnsi="Times New Roman" w:eastAsia="仿宋_GB2312" w:cs="仿宋_GB2312"/>
          <w:color w:val="auto"/>
          <w:kern w:val="2"/>
          <w:sz w:val="32"/>
          <w:szCs w:val="32"/>
          <w:highlight w:val="none"/>
          <w:lang w:val="en-US" w:eastAsia="zh-CN" w:bidi="ar-SA"/>
        </w:rPr>
        <w:t>保障（类）住房改革（款）住房公积金（项）:指行政事业单位按人力资源和社会保障部、财政部规定的基本工资和津贴补贴以及规定比例为职工缴纳的住房公积金。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w:t>
      </w:r>
      <w:r>
        <w:rPr>
          <w:rFonts w:hint="eastAsia" w:ascii="Times New Roman" w:hAnsi="Times New Roman" w:eastAsia="仿宋_GB2312" w:cs="仿宋_GB2312"/>
          <w:color w:val="auto"/>
          <w:kern w:val="2"/>
          <w:sz w:val="32"/>
          <w:szCs w:val="32"/>
          <w:highlight w:val="none"/>
          <w:lang w:val="en-US" w:eastAsia="zh-CN" w:bidi="ar-SA"/>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.机关运行经费：为保障行政单位（含参照公务员法管理的事业单位）运行用于购买货物和服务的各项资金，包括办公费、邮电费、差旅费、福利费、办公用房水电费、公务用车运行维护费以及其他费用。</w:t>
      </w:r>
      <w:r>
        <w:rPr>
          <w:rFonts w:hint="eastAsia" w:ascii="Times New Roman" w:hAnsi="Times New Roman" w:eastAsia="仿宋_GB2312" w:cs="仿宋_GB2312"/>
          <w:color w:val="auto"/>
          <w:kern w:val="2"/>
          <w:sz w:val="32"/>
          <w:szCs w:val="32"/>
          <w:highlight w:val="none"/>
          <w:lang w:val="en-US" w:eastAsia="zh-CN" w:bidi="ar-SA"/>
        </w:rPr>
        <w:br w:type="page"/>
      </w:r>
      <w:bookmarkStart w:id="62" w:name="_Toc1539661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20"/>
          <w:rFonts w:hint="eastAsia" w:ascii="Times New Roman" w:hAnsi="Times New Roman" w:eastAsia="黑体"/>
          <w:b w:val="0"/>
          <w:color w:val="auto"/>
          <w:highlight w:val="none"/>
          <w:lang w:eastAsia="zh-CN"/>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62"/>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640" w:firstLineChars="200"/>
        <w:jc w:val="both"/>
        <w:outlineLvl w:val="9"/>
        <w:rPr>
          <w:rFonts w:ascii="Times New Roman" w:hAnsi="Times New Roman" w:eastAsia="仿宋_GB2312" w:cs="Times New Roman"/>
          <w:caps w:val="0"/>
          <w:smallCaps w:val="0"/>
          <w:color w:val="auto"/>
          <w:w w:val="95"/>
          <w:kern w:val="0"/>
          <w:sz w:val="32"/>
          <w:szCs w:val="32"/>
          <w:vertAlign w:val="baseline"/>
          <w:lang w:eastAsia="zh-CN"/>
        </w:rPr>
      </w:pPr>
      <w:r>
        <w:rPr>
          <w:rFonts w:hint="eastAsia" w:cs="Times New Roman"/>
          <w:sz w:val="32"/>
          <w:szCs w:val="32"/>
          <w:highlight w:val="none"/>
          <w:lang w:val="en-US" w:eastAsia="zh-CN" w:bidi="ar-SA"/>
        </w:rPr>
        <w:t>部门预算项目支出绩效自评表（2025年度）</w:t>
      </w:r>
    </w:p>
    <w:p>
      <w:pPr>
        <w:pStyle w:val="3"/>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cs="Times New Roman"/>
          <w:kern w:val="2"/>
          <w:sz w:val="32"/>
          <w:szCs w:val="32"/>
          <w:u w:val="none"/>
          <w:lang w:val="zh-CN" w:eastAsia="zh-CN"/>
        </w:rPr>
      </w:pPr>
    </w:p>
    <w:p>
      <w:pPr>
        <w:pStyle w:val="3"/>
        <w:keepNext w:val="0"/>
        <w:keepLines w:val="0"/>
        <w:pageBreakBefore w:val="0"/>
        <w:widowControl w:val="0"/>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pPr>
        <w:pStyle w:val="8"/>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pPr>
        <w:widowControl/>
        <w:jc w:val="center"/>
        <w:rPr>
          <w:rFonts w:hint="eastAsia" w:ascii="Times New Roman" w:hAnsi="Times New Roman" w:eastAsia="黑体"/>
          <w:color w:val="auto"/>
          <w:sz w:val="44"/>
          <w:szCs w:val="44"/>
          <w:highlight w:val="none"/>
        </w:rPr>
      </w:pPr>
      <w:bookmarkStart w:id="63" w:name="_Toc15396618"/>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0"/>
          <w:rFonts w:hint="eastAsia" w:ascii="Times New Roman" w:hAnsi="Times New Roman" w:eastAsia="黑体"/>
          <w:b w:val="0"/>
          <w:color w:val="auto"/>
          <w:highlight w:val="none"/>
        </w:rPr>
        <w:t>五部分 附表</w:t>
      </w:r>
      <w:bookmarkEnd w:id="61"/>
      <w:bookmarkEnd w:id="63"/>
      <w:bookmarkStart w:id="64" w:name="_Toc15396619"/>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64"/>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0"/>
      <w:r>
        <w:rPr>
          <w:rFonts w:hint="eastAsia" w:ascii="Times New Roman" w:hAnsi="Times New Roman" w:eastAsia="仿宋_GB2312" w:cs="仿宋_GB2312"/>
          <w:color w:val="auto"/>
          <w:sz w:val="32"/>
          <w:szCs w:val="32"/>
          <w:highlight w:val="none"/>
        </w:rPr>
        <w:t>二、收入决算表</w:t>
      </w:r>
      <w:bookmarkEnd w:id="65"/>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1"/>
      <w:r>
        <w:rPr>
          <w:rFonts w:hint="eastAsia" w:ascii="Times New Roman" w:hAnsi="Times New Roman" w:eastAsia="仿宋_GB2312" w:cs="仿宋_GB2312"/>
          <w:color w:val="auto"/>
          <w:sz w:val="32"/>
          <w:szCs w:val="32"/>
          <w:highlight w:val="none"/>
        </w:rPr>
        <w:t>三、支出决算表</w:t>
      </w:r>
      <w:bookmarkEnd w:id="66"/>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2"/>
      <w:r>
        <w:rPr>
          <w:rFonts w:hint="eastAsia" w:ascii="Times New Roman" w:hAnsi="Times New Roman" w:eastAsia="仿宋_GB2312" w:cs="仿宋_GB2312"/>
          <w:color w:val="auto"/>
          <w:sz w:val="32"/>
          <w:szCs w:val="32"/>
          <w:highlight w:val="none"/>
        </w:rPr>
        <w:t>四、财政拨款收入支出决算总表</w:t>
      </w:r>
      <w:bookmarkEnd w:id="67"/>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23"/>
      <w:r>
        <w:rPr>
          <w:rFonts w:hint="eastAsia" w:ascii="Times New Roman" w:hAnsi="Times New Roman" w:eastAsia="仿宋_GB2312" w:cs="仿宋_GB2312"/>
          <w:color w:val="auto"/>
          <w:sz w:val="32"/>
          <w:szCs w:val="32"/>
          <w:highlight w:val="none"/>
        </w:rPr>
        <w:t>五、财政拨款支出决算明细表</w:t>
      </w:r>
      <w:bookmarkEnd w:id="68"/>
      <w:bookmarkStart w:id="69" w:name="_Toc15396624"/>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9"/>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0" w:name="_Toc15396625"/>
      <w:r>
        <w:rPr>
          <w:rFonts w:hint="eastAsia" w:ascii="Times New Roman" w:hAnsi="Times New Roman" w:eastAsia="仿宋_GB2312" w:cs="仿宋_GB2312"/>
          <w:color w:val="auto"/>
          <w:sz w:val="32"/>
          <w:szCs w:val="32"/>
          <w:highlight w:val="none"/>
        </w:rPr>
        <w:t>七、一般公共预算财政拨款支出决算明细表</w:t>
      </w:r>
      <w:bookmarkEnd w:id="70"/>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1" w:name="_Toc15396626"/>
      <w:r>
        <w:rPr>
          <w:rFonts w:hint="eastAsia" w:ascii="Times New Roman" w:hAnsi="Times New Roman" w:eastAsia="仿宋_GB2312" w:cs="仿宋_GB2312"/>
          <w:color w:val="auto"/>
          <w:sz w:val="32"/>
          <w:szCs w:val="32"/>
          <w:highlight w:val="none"/>
        </w:rPr>
        <w:t>八、一般公共预算财政拨款基本支出决算表</w:t>
      </w:r>
      <w:bookmarkEnd w:id="71"/>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2" w:name="_Toc15396627"/>
      <w:r>
        <w:rPr>
          <w:rFonts w:hint="eastAsia" w:ascii="Times New Roman" w:hAnsi="Times New Roman" w:eastAsia="仿宋_GB2312" w:cs="仿宋_GB2312"/>
          <w:color w:val="auto"/>
          <w:sz w:val="32"/>
          <w:szCs w:val="32"/>
          <w:highlight w:val="none"/>
        </w:rPr>
        <w:t>九、一般公共预算财政拨款项目支出决算表</w:t>
      </w:r>
      <w:bookmarkEnd w:id="72"/>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3" w:name="_Toc15396628"/>
      <w:r>
        <w:rPr>
          <w:rFonts w:hint="eastAsia" w:ascii="Times New Roman" w:hAnsi="Times New Roman" w:eastAsia="仿宋_GB2312" w:cs="仿宋_GB2312"/>
          <w:color w:val="auto"/>
          <w:sz w:val="32"/>
          <w:szCs w:val="32"/>
          <w:highlight w:val="none"/>
        </w:rPr>
        <w:t>十、</w:t>
      </w:r>
      <w:bookmarkEnd w:id="73"/>
      <w:r>
        <w:rPr>
          <w:rFonts w:hint="eastAsia" w:ascii="Times New Roman" w:hAnsi="Times New Roman" w:eastAsia="仿宋_GB2312" w:cs="仿宋_GB2312"/>
          <w:color w:val="auto"/>
          <w:sz w:val="32"/>
          <w:szCs w:val="32"/>
          <w:highlight w:val="none"/>
        </w:rPr>
        <w:t>政府性基金预算财政拨款收入支出决算表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4" w:name="_Toc15396629"/>
      <w:r>
        <w:rPr>
          <w:rFonts w:hint="eastAsia" w:ascii="Times New Roman" w:hAnsi="Times New Roman" w:eastAsia="仿宋_GB2312" w:cs="仿宋_GB2312"/>
          <w:color w:val="auto"/>
          <w:sz w:val="32"/>
          <w:szCs w:val="32"/>
          <w:highlight w:val="none"/>
        </w:rPr>
        <w:t>十一、</w:t>
      </w:r>
      <w:bookmarkEnd w:id="74"/>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5" w:name="_Toc15396630"/>
      <w:r>
        <w:rPr>
          <w:rFonts w:hint="eastAsia" w:ascii="Times New Roman" w:hAnsi="Times New Roman" w:eastAsia="仿宋_GB2312" w:cs="仿宋_GB2312"/>
          <w:color w:val="auto"/>
          <w:sz w:val="32"/>
          <w:szCs w:val="32"/>
          <w:highlight w:val="none"/>
        </w:rPr>
        <w:t>十二、</w:t>
      </w:r>
      <w:bookmarkEnd w:id="75"/>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76" w:name="_Toc15396631"/>
      <w:r>
        <w:rPr>
          <w:rFonts w:hint="eastAsia" w:ascii="Times New Roman" w:hAnsi="Times New Roman" w:eastAsia="仿宋_GB2312" w:cs="仿宋_GB2312"/>
          <w:color w:val="auto"/>
          <w:sz w:val="32"/>
          <w:szCs w:val="32"/>
          <w:highlight w:val="none"/>
        </w:rPr>
        <w:t>十三、</w:t>
      </w:r>
      <w:bookmarkEnd w:id="76"/>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3665" distR="113665" simplePos="0" relativeHeight="1024" behindDoc="0" locked="0" layoutInCell="1" allowOverlap="1">
              <wp:simplePos x="0" y="0"/>
              <wp:positionH relativeFrom="margin">
                <wp:align>outside</wp:align>
              </wp:positionH>
              <wp:positionV relativeFrom="paragraph">
                <wp:posOffset>0</wp:posOffset>
              </wp:positionV>
              <wp:extent cx="227965" cy="133350"/>
              <wp:effectExtent l="0" t="0" r="0" b="0"/>
              <wp:wrapNone/>
              <wp:docPr id="1" name="文本框 9"/>
              <wp:cNvGraphicFramePr/>
              <a:graphic xmlns:a="http://schemas.openxmlformats.org/drawingml/2006/main">
                <a:graphicData uri="http://schemas.microsoft.com/office/word/2010/wordprocessingShape">
                  <wps:wsp>
                    <wps:cNvSpPr/>
                    <wps:spPr>
                      <a:xfrm>
                        <a:off x="0" y="0"/>
                        <a:ext cx="227914" cy="133159"/>
                      </a:xfrm>
                      <a:prstGeom prst="rect">
                        <a:avLst/>
                      </a:prstGeom>
                      <a:noFill/>
                      <a:ln w="6350" cap="flat" cmpd="sng">
                        <a:noFill/>
                        <a:prstDash val="solid"/>
                        <a:round/>
                      </a:ln>
                    </wps:spPr>
                    <wps:txbx>
                      <w:txbxContent>
                        <w:p>
                          <w:pPr>
                            <w:pStyle w:val="11"/>
                          </w:pPr>
                          <w:r>
                            <w:fldChar w:fldCharType="begin"/>
                          </w:r>
                          <w:r>
                            <w:instrText xml:space="preserve"> PAGE  \* MERGEFORMAT </w:instrText>
                          </w:r>
                          <w:r>
                            <w:fldChar w:fldCharType="separate"/>
                          </w:r>
                          <w:r>
                            <w:t>- 1 -</w:t>
                          </w:r>
                          <w:r>
                            <w:fldChar w:fldCharType="end"/>
                          </w:r>
                        </w:p>
                      </w:txbxContent>
                    </wps:txbx>
                    <wps:bodyPr vert="horz" wrap="none" lIns="0" tIns="0" rIns="0" bIns="0" anchor="t" anchorCtr="false" upright="false">
                      <a:spAutoFit/>
                    </wps:bodyPr>
                  </wps:wsp>
                </a:graphicData>
              </a:graphic>
            </wp:anchor>
          </w:drawing>
        </mc:Choice>
        <mc:Fallback>
          <w:pict>
            <v:rect id="文本框 9" o:spid="_x0000_s1026" o:spt="1" style="position:absolute;left:0pt;margin-top:0pt;height:10.5pt;width:17.95pt;mso-position-horizontal:outside;mso-position-horizontal-relative:margin;mso-wrap-style:none;z-index:1024;mso-width-relative:page;mso-height-relative:page;" filled="f" stroked="f" coordsize="21600,21600" o:gfxdata="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Ya7CG1wAAAAMBAAAPAAAAAAAAAAEAIAAAADgAAABkcnMv&#10;ZG93bnJldi54bWxQSwECFAAUAAAACACHTuJAx8mBXe4BAACuAwAADgAAAAAAAAABACAAAAA8AQAA&#10;ZHJzL2Uyb0RvYy54bWxQSwUGAAAAAAYABgBZAQAAnAUAAAAA&#10;">
              <v:fill on="f" focussize="0,0"/>
              <v:stroke on="f" weight="0.5pt" joinstyle="round"/>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rect>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3665" distR="113665" simplePos="0" relativeHeight="1024" behindDoc="0" locked="0" layoutInCell="1" allowOverlap="1">
              <wp:simplePos x="0" y="0"/>
              <wp:positionH relativeFrom="margin">
                <wp:align>outside</wp:align>
              </wp:positionH>
              <wp:positionV relativeFrom="paragraph">
                <wp:posOffset>0</wp:posOffset>
              </wp:positionV>
              <wp:extent cx="227965" cy="133350"/>
              <wp:effectExtent l="0" t="0" r="0" b="0"/>
              <wp:wrapNone/>
              <wp:docPr id="4" name="文本框 10"/>
              <wp:cNvGraphicFramePr/>
              <a:graphic xmlns:a="http://schemas.openxmlformats.org/drawingml/2006/main">
                <a:graphicData uri="http://schemas.microsoft.com/office/word/2010/wordprocessingShape">
                  <wps:wsp>
                    <wps:cNvSpPr/>
                    <wps:spPr>
                      <a:xfrm>
                        <a:off x="0" y="0"/>
                        <a:ext cx="227914" cy="133159"/>
                      </a:xfrm>
                      <a:prstGeom prst="rect">
                        <a:avLst/>
                      </a:prstGeom>
                      <a:noFill/>
                      <a:ln w="6350" cap="flat" cmpd="sng">
                        <a:noFill/>
                        <a:prstDash val="solid"/>
                        <a:round/>
                      </a:ln>
                    </wps:spPr>
                    <wps:txbx>
                      <w:txbxContent>
                        <w:p>
                          <w:pPr>
                            <w:pStyle w:val="11"/>
                          </w:pPr>
                          <w:r>
                            <w:fldChar w:fldCharType="begin"/>
                          </w:r>
                          <w:r>
                            <w:instrText xml:space="preserve"> PAGE  \* MERGEFORMAT </w:instrText>
                          </w:r>
                          <w:r>
                            <w:fldChar w:fldCharType="separate"/>
                          </w:r>
                          <w:r>
                            <w:t>- 1 -</w:t>
                          </w:r>
                          <w:r>
                            <w:fldChar w:fldCharType="end"/>
                          </w:r>
                        </w:p>
                      </w:txbxContent>
                    </wps:txbx>
                    <wps:bodyPr vert="horz" wrap="none" lIns="0" tIns="0" rIns="0" bIns="0" anchor="t" anchorCtr="false" upright="false">
                      <a:spAutoFit/>
                    </wps:bodyPr>
                  </wps:wsp>
                </a:graphicData>
              </a:graphic>
            </wp:anchor>
          </w:drawing>
        </mc:Choice>
        <mc:Fallback>
          <w:pict>
            <v:rect id="文本框 10" o:spid="_x0000_s1026" o:spt="1" style="position:absolute;left:0pt;margin-top:0pt;height:10.5pt;width:17.95pt;mso-position-horizontal:outside;mso-position-horizontal-relative:margin;mso-wrap-style:none;z-index:1024;mso-width-relative:page;mso-height-relative:page;" filled="f" stroked="f" coordsize="21600,21600" o:gfxdata="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AYa7CG1wAAAAMBAAAPAAAAAAAAAAEAIAAAADgAAABkcnMvZG93&#10;bnJldi54bWxQSwECFAAUAAAACACHTuJAc0j2vesBAACvAwAADgAAAAAAAAABACAAAAA8AQAAZHJz&#10;L2Uyb0RvYy54bWxQSwUGAAAAAAYABgBZAQAAmQUAAAAA&#10;">
              <v:fill on="f" focussize="0,0"/>
              <v:stroke on="f" weight="0.5pt" joinstyle="round"/>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3665" distR="113665" simplePos="0" relativeHeight="1024" behindDoc="0" locked="0" layoutInCell="1" allowOverlap="1">
              <wp:simplePos x="0" y="0"/>
              <wp:positionH relativeFrom="margin">
                <wp:align>outside</wp:align>
              </wp:positionH>
              <wp:positionV relativeFrom="paragraph">
                <wp:posOffset>0</wp:posOffset>
              </wp:positionV>
              <wp:extent cx="300355" cy="133350"/>
              <wp:effectExtent l="0" t="0" r="0" b="0"/>
              <wp:wrapNone/>
              <wp:docPr id="7" name="文本框 12"/>
              <wp:cNvGraphicFramePr/>
              <a:graphic xmlns:a="http://schemas.openxmlformats.org/drawingml/2006/main">
                <a:graphicData uri="http://schemas.microsoft.com/office/word/2010/wordprocessingShape">
                  <wps:wsp>
                    <wps:cNvSpPr/>
                    <wps:spPr>
                      <a:xfrm>
                        <a:off x="0" y="0"/>
                        <a:ext cx="300609" cy="133159"/>
                      </a:xfrm>
                      <a:prstGeom prst="rect">
                        <a:avLst/>
                      </a:prstGeom>
                      <a:noFill/>
                      <a:ln w="6350" cap="flat" cmpd="sng">
                        <a:noFill/>
                        <a:prstDash val="solid"/>
                        <a:round/>
                      </a:ln>
                    </wps:spPr>
                    <wps:txbx>
                      <w:txbxContent>
                        <w:p>
                          <w:pPr>
                            <w:pStyle w:val="11"/>
                          </w:pPr>
                          <w:r>
                            <w:fldChar w:fldCharType="begin"/>
                          </w:r>
                          <w:r>
                            <w:instrText xml:space="preserve"> PAGE  \* MERGEFORMAT </w:instrText>
                          </w:r>
                          <w:r>
                            <w:fldChar w:fldCharType="separate"/>
                          </w:r>
                          <w:r>
                            <w:t>- 2 -</w:t>
                          </w:r>
                          <w:r>
                            <w:fldChar w:fldCharType="end"/>
                          </w:r>
                        </w:p>
                      </w:txbxContent>
                    </wps:txbx>
                    <wps:bodyPr vert="horz" wrap="none" lIns="0" tIns="0" rIns="0" bIns="0" anchor="t" anchorCtr="false" upright="false">
                      <a:spAutoFit/>
                    </wps:bodyPr>
                  </wps:wsp>
                </a:graphicData>
              </a:graphic>
            </wp:anchor>
          </w:drawing>
        </mc:Choice>
        <mc:Fallback>
          <w:pict>
            <v:rect id="文本框 12" o:spid="_x0000_s1026" o:spt="1" style="position:absolute;left:0pt;margin-top:0pt;height:10.5pt;width:23.65pt;mso-position-horizontal:outside;mso-position-horizontal-relative:margin;mso-wrap-style:none;z-index:1024;mso-width-relative:page;mso-height-relative:page;" filled="f" stroked="f" coordsize="21600,21600" o:gfxdata="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l3gnaNcAAAADAQAADwAAAAAAAAABACAAAAA4AAAAZHJzL2Rv&#10;d25yZXYueG1sUEsBAhQAFAAAAAgAh07iQDF3izPsAQAArwMAAA4AAAAAAAAAAQAgAAAAPAEAAGRy&#10;cy9lMm9Eb2MueG1sUEsFBgAAAAAGAAYAWQEAAJoFAAAAAA==&#10;">
              <v:fill on="f" focussize="0,0"/>
              <v:stroke on="f" weight="0.5pt" joinstyle="round"/>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rect>
          </w:pict>
        </mc:Fallback>
      </mc:AlternateContent>
    </w: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3665" distR="113665" simplePos="0" relativeHeight="1024" behindDoc="0" locked="0" layoutInCell="1" allowOverlap="1">
              <wp:simplePos x="0" y="0"/>
              <wp:positionH relativeFrom="margin">
                <wp:align>outside</wp:align>
              </wp:positionH>
              <wp:positionV relativeFrom="paragraph">
                <wp:posOffset>0</wp:posOffset>
              </wp:positionV>
              <wp:extent cx="227965" cy="133350"/>
              <wp:effectExtent l="0" t="0" r="0" b="0"/>
              <wp:wrapNone/>
              <wp:docPr id="10" name="文本框 13"/>
              <wp:cNvGraphicFramePr/>
              <a:graphic xmlns:a="http://schemas.openxmlformats.org/drawingml/2006/main">
                <a:graphicData uri="http://schemas.microsoft.com/office/word/2010/wordprocessingShape">
                  <wps:wsp>
                    <wps:cNvSpPr/>
                    <wps:spPr>
                      <a:xfrm>
                        <a:off x="0" y="0"/>
                        <a:ext cx="227914" cy="133159"/>
                      </a:xfrm>
                      <a:prstGeom prst="rect">
                        <a:avLst/>
                      </a:prstGeom>
                      <a:noFill/>
                      <a:ln w="6350" cap="flat" cmpd="sng">
                        <a:noFill/>
                        <a:prstDash val="solid"/>
                        <a:round/>
                      </a:ln>
                    </wps:spPr>
                    <wps:txbx>
                      <w:txbxContent>
                        <w:p>
                          <w:pPr>
                            <w:pStyle w:val="11"/>
                          </w:pPr>
                          <w:r>
                            <w:fldChar w:fldCharType="begin"/>
                          </w:r>
                          <w:r>
                            <w:instrText xml:space="preserve"> PAGE  \* MERGEFORMAT </w:instrText>
                          </w:r>
                          <w:r>
                            <w:fldChar w:fldCharType="separate"/>
                          </w:r>
                          <w:r>
                            <w:t>- 1 -</w:t>
                          </w:r>
                          <w:r>
                            <w:fldChar w:fldCharType="end"/>
                          </w:r>
                        </w:p>
                      </w:txbxContent>
                    </wps:txbx>
                    <wps:bodyPr vert="horz" wrap="none" lIns="0" tIns="0" rIns="0" bIns="0" anchor="t" anchorCtr="false" upright="false">
                      <a:spAutoFit/>
                    </wps:bodyPr>
                  </wps:wsp>
                </a:graphicData>
              </a:graphic>
            </wp:anchor>
          </w:drawing>
        </mc:Choice>
        <mc:Fallback>
          <w:pict>
            <v:rect id="文本框 13" o:spid="_x0000_s1026" o:spt="1" style="position:absolute;left:0pt;margin-top:0pt;height:10.5pt;width:17.95pt;mso-position-horizontal:outside;mso-position-horizontal-relative:margin;mso-wrap-style:none;z-index:1024;mso-width-relative:page;mso-height-relative:page;" filled="f" stroked="f" coordsize="21600,21600" o:gfxdata="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Ya7CG1wAAAAMBAAAPAAAAAAAAAAEAIAAAADgAAABkcnMv&#10;ZG93bnJldi54bWxQSwECFAAUAAAACACHTuJArfshMO4BAACwAwAADgAAAAAAAAABACAAAAA8AQAA&#10;ZHJzL2Uyb0RvYy54bWxQSwUGAAAAAAYABgBZAQAAnAUAAAAA&#10;">
              <v:fill on="f" focussize="0,0"/>
              <v:stroke on="f" weight="0.5pt" joinstyle="round"/>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CA0F13"/>
    <w:multiLevelType w:val="singleLevel"/>
    <w:tmpl w:val="FFCA0F13"/>
    <w:lvl w:ilvl="0" w:tentative="0">
      <w:start w:val="4"/>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dit="readOnly" w:enforcement="0"/>
  <w:defaultTabStop w:val="420"/>
  <w:drawingGridHorizontalSpacing w:val="105"/>
  <w:drawingGridVerticalSpacing w:val="156"/>
  <w:displayHorizontalDrawingGridEvery w:val="1"/>
  <w:displayVerticalDrawingGridEvery w:val="1"/>
  <w:doNotUseMarginsForDrawingGridOrigin w:val="true"/>
  <w:drawingGridHorizontalOrigin w:val="0"/>
  <w:drawingGridVerticalOrigin w:val="0"/>
  <w:noPunctuationKerning w:val="true"/>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5"/>
  </w:compat>
  <w:rsids>
    <w:rsidRoot w:val="00000000"/>
    <w:rsid w:val="1755DCCC"/>
    <w:rsid w:val="2FDF173E"/>
    <w:rsid w:val="79F7F625"/>
    <w:rsid w:val="8B7EBD92"/>
    <w:rsid w:val="BFFBC312"/>
    <w:rsid w:val="FEFDA1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qFormat/>
    <w:uiPriority w:val="0"/>
    <w:pPr>
      <w:ind w:firstLine="200" w:firstLineChars="200"/>
    </w:pPr>
  </w:style>
  <w:style w:type="paragraph" w:styleId="4">
    <w:name w:val="Body Text Indent"/>
    <w:basedOn w:val="1"/>
    <w:next w:val="3"/>
    <w:qFormat/>
    <w:uiPriority w:val="0"/>
    <w:pPr>
      <w:spacing w:after="120"/>
      <w:ind w:left="200" w:leftChars="200"/>
    </w:pPr>
    <w:rPr>
      <w:rFonts w:ascii="仿宋_GB2312" w:hAnsi="仿宋_GB2312"/>
      <w:szCs w:val="32"/>
    </w:r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rPr>
      <w:sz w:val="24"/>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heading 1 Char"/>
    <w:basedOn w:val="17"/>
    <w:link w:val="5"/>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7"/>
    <w:link w:val="6"/>
    <w:qFormat/>
    <w:uiPriority w:val="0"/>
    <w:rPr>
      <w:rFonts w:ascii="Cambria" w:hAnsi="Cambria" w:eastAsia="宋体" w:cs="Times New Roman"/>
      <w:b/>
      <w:bCs/>
      <w:kern w:val="2"/>
      <w:sz w:val="32"/>
      <w:szCs w:val="32"/>
      <w:lang w:val="en-US" w:eastAsia="zh-CN" w:bidi="ar-SA"/>
    </w:rPr>
  </w:style>
  <w:style w:type="paragraph" w:customStyle="1" w:styleId="22">
    <w:name w:val="标题 5（有编号）（绿盟科技）"/>
    <w:next w:val="1"/>
    <w:qFormat/>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5"/>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9">
    <w:name w:val="TOC Heading"/>
    <w:basedOn w:val="5"/>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0">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26</Pages>
  <Words>7840</Words>
  <Characters>9511</Characters>
  <Lines>488</Lines>
  <Paragraphs>159</Paragraphs>
  <TotalTime>2</TotalTime>
  <ScaleCrop>false</ScaleCrop>
  <LinksUpToDate>false</LinksUpToDate>
  <CharactersWithSpaces>9554</CharactersWithSpaces>
  <Application>WPS Office_11.8.2.9864_F1E327BC-269C-435d-A152-05C5408002CA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2020-08-15T01:49:00Z</dcterms:created>
  <dc:creator>曹颖</dc:creator>
  <cp:lastModifiedBy>user</cp:lastModifiedBy>
  <cp:lastPrinted>2025-08-12T09:34:00Z</cp:lastPrinted>
  <dcterms:modified xsi:type="dcterms:W3CDTF">2026-09-14T11:03:05Z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04787F2533EB45DC91BCDE4AB213247F</vt:lpwstr>
  </property>
</Properties>
</file>