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ascii="Times New Roman" w:eastAsia="方正小标宋简体"/>
          <w:kern w:val="2"/>
          <w:sz w:val="72"/>
          <w:szCs w:val="72"/>
        </w:rPr>
      </w:pPr>
      <w:bookmarkStart w:id="0" w:name="_Toc15306267"/>
      <w:bookmarkStart w:id="1" w:name="_Toc15396476"/>
      <w:bookmarkStart w:id="2" w:name="_Toc15378442"/>
      <w:bookmarkStart w:id="3" w:name="_Toc15377426"/>
      <w:bookmarkStart w:id="4" w:name="_Toc15396598"/>
      <w:bookmarkStart w:id="5" w:name="_Toc15377194"/>
    </w:p>
    <w:p>
      <w:pPr>
        <w:pStyle w:val="8"/>
        <w:spacing w:before="93"/>
        <w:rPr>
          <w:rFonts w:ascii="Times New Roman" w:eastAsia="方正小标宋简体"/>
          <w:kern w:val="2"/>
          <w:sz w:val="44"/>
          <w:szCs w:val="44"/>
        </w:rPr>
      </w:pPr>
    </w:p>
    <w:p>
      <w:pPr>
        <w:pStyle w:val="8"/>
        <w:spacing w:before="93"/>
        <w:rPr>
          <w:rFonts w:ascii="Times New Roman" w:eastAsia="方正小标宋简体"/>
          <w:kern w:val="2"/>
          <w:sz w:val="44"/>
          <w:szCs w:val="44"/>
        </w:rPr>
      </w:pPr>
    </w:p>
    <w:p>
      <w:pPr>
        <w:pStyle w:val="8"/>
        <w:spacing w:before="93"/>
        <w:rPr>
          <w:rFonts w:ascii="Times New Roman" w:eastAsia="方正小标宋简体"/>
          <w:kern w:val="2"/>
          <w:sz w:val="44"/>
          <w:szCs w:val="44"/>
        </w:rPr>
      </w:pPr>
    </w:p>
    <w:p>
      <w:pPr>
        <w:pStyle w:val="8"/>
        <w:spacing w:before="93"/>
        <w:rPr>
          <w:rFonts w:ascii="Times New Roman" w:eastAsia="方正小标宋简体"/>
          <w:kern w:val="2"/>
          <w:sz w:val="44"/>
          <w:szCs w:val="44"/>
        </w:rPr>
      </w:pPr>
    </w:p>
    <w:p>
      <w:pPr>
        <w:pStyle w:val="8"/>
        <w:spacing w:before="93"/>
        <w:rPr>
          <w:rFonts w:ascii="Times New Roman" w:eastAsia="方正小标宋简体"/>
          <w:kern w:val="2"/>
          <w:sz w:val="44"/>
          <w:szCs w:val="44"/>
        </w:rPr>
      </w:pPr>
    </w:p>
    <w:p>
      <w:pPr>
        <w:pStyle w:val="8"/>
        <w:spacing w:beforeLines="0" w:line="600" w:lineRule="exact"/>
        <w:jc w:val="center"/>
        <w:rPr>
          <w:rFonts w:ascii="Times New Roman" w:eastAsia="方正小标宋简体"/>
          <w:kern w:val="2"/>
          <w:sz w:val="44"/>
          <w:szCs w:val="44"/>
        </w:rPr>
      </w:pPr>
      <w:r>
        <w:rPr>
          <w:rFonts w:hint="eastAsia" w:ascii="Times New Roman" w:eastAsia="方正小标宋简体"/>
          <w:kern w:val="2"/>
          <w:sz w:val="44"/>
          <w:szCs w:val="44"/>
        </w:rPr>
        <w:t>攀枝化市12345群众服务中心</w:t>
      </w:r>
    </w:p>
    <w:p>
      <w:pPr>
        <w:pStyle w:val="8"/>
        <w:spacing w:beforeLines="0" w:line="600" w:lineRule="exact"/>
        <w:jc w:val="center"/>
        <w:rPr>
          <w:rFonts w:ascii="Times New Roman" w:eastAsia="方正小标宋简体"/>
          <w:kern w:val="2"/>
          <w:sz w:val="44"/>
          <w:szCs w:val="44"/>
        </w:rPr>
      </w:pPr>
      <w:r>
        <w:rPr>
          <w:rFonts w:hint="eastAsia" w:ascii="Times New Roman" w:eastAsia="方正小标宋简体"/>
          <w:kern w:val="2"/>
          <w:sz w:val="44"/>
          <w:szCs w:val="44"/>
        </w:rPr>
        <w:t>2025年度</w:t>
      </w:r>
      <w:bookmarkEnd w:id="0"/>
      <w:bookmarkStart w:id="6" w:name="_Toc15306268"/>
      <w:r>
        <w:rPr>
          <w:rFonts w:hint="eastAsia" w:ascii="Times New Roman" w:eastAsia="方正小标宋简体"/>
          <w:kern w:val="2"/>
          <w:sz w:val="44"/>
          <w:szCs w:val="44"/>
        </w:rPr>
        <w:t>单位决算</w:t>
      </w:r>
      <w:bookmarkEnd w:id="1"/>
      <w:bookmarkEnd w:id="2"/>
      <w:bookmarkEnd w:id="3"/>
      <w:bookmarkEnd w:id="4"/>
      <w:bookmarkEnd w:id="5"/>
      <w:bookmarkEnd w:id="6"/>
      <w:r>
        <w:rPr>
          <w:rFonts w:hint="eastAsia" w:ascii="Times New Roman" w:eastAsia="方正小标宋简体"/>
          <w:kern w:val="2"/>
          <w:sz w:val="44"/>
          <w:szCs w:val="44"/>
        </w:rPr>
        <w:t>公开编制说明</w:t>
      </w: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Lines="0" w:line="600" w:lineRule="exact"/>
        <w:jc w:val="center"/>
        <w:rPr>
          <w:rFonts w:ascii="Times New Roman" w:eastAsia="方正小标宋简体"/>
          <w:kern w:val="2"/>
          <w:sz w:val="44"/>
          <w:szCs w:val="44"/>
        </w:rPr>
      </w:pPr>
    </w:p>
    <w:p>
      <w:pPr>
        <w:pStyle w:val="8"/>
        <w:spacing w:beforeLines="0" w:line="600" w:lineRule="exact"/>
        <w:jc w:val="center"/>
        <w:rPr>
          <w:rFonts w:ascii="Times New Roman" w:eastAsia="方正小标宋简体"/>
          <w:kern w:val="2"/>
          <w:sz w:val="44"/>
          <w:szCs w:val="44"/>
        </w:rPr>
      </w:pPr>
      <w:r>
        <w:rPr>
          <w:rFonts w:hint="eastAsia" w:ascii="Times New Roman" w:eastAsia="方正小标宋简体"/>
          <w:kern w:val="2"/>
          <w:sz w:val="44"/>
          <w:szCs w:val="44"/>
        </w:rPr>
        <w:t>2025年度攀枝花市12345群众服务中心</w:t>
      </w:r>
    </w:p>
    <w:p>
      <w:pPr>
        <w:pStyle w:val="8"/>
        <w:spacing w:beforeLines="0" w:line="600" w:lineRule="exact"/>
        <w:jc w:val="center"/>
        <w:rPr>
          <w:rFonts w:ascii="Times New Roman" w:eastAsia="方正小标宋简体"/>
          <w:kern w:val="2"/>
          <w:sz w:val="44"/>
          <w:szCs w:val="44"/>
        </w:rPr>
      </w:pPr>
      <w:r>
        <w:rPr>
          <w:rFonts w:hint="eastAsia" w:ascii="Times New Roman" w:eastAsia="方正小标宋简体"/>
          <w:kern w:val="2"/>
          <w:sz w:val="44"/>
          <w:szCs w:val="44"/>
        </w:rPr>
        <w:t>部门决算</w:t>
      </w:r>
    </w:p>
    <w:p>
      <w:pPr>
        <w:pStyle w:val="8"/>
        <w:spacing w:before="93"/>
        <w:jc w:val="center"/>
        <w:rPr>
          <w:rFonts w:ascii="Times New Roman" w:eastAsia="方正小标宋简体"/>
          <w:kern w:val="2"/>
          <w:sz w:val="44"/>
          <w:szCs w:val="44"/>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widowControl/>
        <w:jc w:val="center"/>
        <w:rPr>
          <w:rFonts w:eastAsia="黑体"/>
          <w:sz w:val="48"/>
          <w:szCs w:val="48"/>
        </w:rPr>
      </w:pPr>
    </w:p>
    <w:p>
      <w:pPr>
        <w:pStyle w:val="2"/>
      </w:pPr>
    </w:p>
    <w:p>
      <w:pPr>
        <w:pStyle w:val="3"/>
        <w:ind w:left="420"/>
      </w:pPr>
    </w:p>
    <w:p>
      <w:pPr>
        <w:widowControl/>
        <w:jc w:val="center"/>
        <w:rPr>
          <w:rFonts w:eastAsia="黑体"/>
          <w:sz w:val="48"/>
          <w:szCs w:val="48"/>
        </w:rPr>
      </w:pPr>
    </w:p>
    <w:p>
      <w:pPr>
        <w:widowControl/>
        <w:jc w:val="center"/>
        <w:rPr>
          <w:rFonts w:eastAsia="黑体"/>
          <w:sz w:val="48"/>
          <w:szCs w:val="48"/>
        </w:rPr>
      </w:pPr>
      <w:r>
        <w:rPr>
          <w:rFonts w:hint="eastAsia" w:eastAsia="黑体"/>
          <w:sz w:val="48"/>
          <w:szCs w:val="48"/>
        </w:rPr>
        <w:t>目   录</w:t>
      </w: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14</w:t>
      </w:r>
      <w:bookmarkStart w:id="64" w:name="_GoBack"/>
      <w:bookmarkEnd w:id="64"/>
      <w:r>
        <w:rPr>
          <w:rFonts w:hint="eastAsia" w:ascii="Times New Roman" w:hAnsi="Times New Roman" w:eastAsia="仿宋_GB2312" w:cs="仿宋_GB2312"/>
          <w:sz w:val="32"/>
          <w:szCs w:val="32"/>
        </w:rPr>
        <w:t>日</w:t>
      </w:r>
    </w:p>
    <w:p/>
    <w:sdt>
      <w:sdtPr>
        <w:rPr>
          <w:rFonts w:ascii="仿宋" w:hAnsi="仿宋" w:eastAsia="仿宋"/>
          <w:kern w:val="2"/>
          <w:sz w:val="28"/>
          <w:szCs w:val="28"/>
        </w:rPr>
        <w:id w:val="4846867"/>
        <w:docPartObj>
          <w:docPartGallery w:val="Table of Contents"/>
          <w:docPartUnique/>
        </w:docPartObj>
      </w:sdtPr>
      <w:sdtEndPr>
        <w:rPr>
          <w:rFonts w:ascii="Times New Roman" w:hAnsi="Times New Roman" w:eastAsia="宋体"/>
          <w:kern w:val="0"/>
          <w:sz w:val="20"/>
          <w:szCs w:val="20"/>
        </w:rPr>
      </w:sdtEndPr>
      <w:sdtContent>
        <w:p>
          <w:pPr>
            <w:pStyle w:val="35"/>
            <w:tabs>
              <w:tab w:val="right" w:leader="dot" w:pos="8306"/>
            </w:tabs>
            <w:spacing w:line="360" w:lineRule="exact"/>
            <w:rPr>
              <w:sz w:val="24"/>
              <w:szCs w:val="24"/>
            </w:rPr>
          </w:pPr>
          <w:r>
            <w:fldChar w:fldCharType="begin"/>
          </w:r>
          <w:r>
            <w:instrText xml:space="preserve"> HYPERLINK \l "_Toc1582" </w:instrText>
          </w:r>
          <w:r>
            <w:fldChar w:fldCharType="separate"/>
          </w:r>
          <w:r>
            <w:rPr>
              <w:rFonts w:hint="eastAsia" w:eastAsia="方正小标宋简体" w:cs="方正小标宋简体"/>
              <w:b/>
              <w:bCs/>
              <w:sz w:val="24"/>
              <w:szCs w:val="24"/>
            </w:rPr>
            <w:t>第一部分  部门概况</w:t>
          </w:r>
          <w:r>
            <w:rPr>
              <w:b/>
              <w:bCs/>
              <w:sz w:val="24"/>
              <w:szCs w:val="24"/>
            </w:rPr>
            <w:tab/>
          </w:r>
          <w:r>
            <w:rPr>
              <w:b/>
              <w:bCs/>
              <w:sz w:val="24"/>
              <w:szCs w:val="24"/>
            </w:rPr>
            <w:t>1</w:t>
          </w:r>
          <w:r>
            <w:rPr>
              <w:b/>
              <w:bCs/>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"_Toc25538" </w:instrText>
          </w:r>
          <w:r>
            <w:fldChar w:fldCharType="separate"/>
          </w:r>
          <w:r>
            <w:rPr>
              <w:rFonts w:hint="eastAsia" w:eastAsia="黑体" w:cstheme="majorBidi"/>
              <w:sz w:val="24"/>
              <w:szCs w:val="24"/>
            </w:rPr>
            <w:t>一、部门职责</w:t>
          </w:r>
          <w:r>
            <w:rPr>
              <w:sz w:val="24"/>
              <w:szCs w:val="24"/>
            </w:rPr>
            <w:tab/>
          </w:r>
          <w:r>
            <w:rPr>
              <w:sz w:val="24"/>
              <w:szCs w:val="24"/>
            </w:rPr>
            <w:t>1</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"_Toc29396" </w:instrText>
          </w:r>
          <w:r>
            <w:fldChar w:fldCharType="separate"/>
          </w:r>
          <w:r>
            <w:rPr>
              <w:rFonts w:hint="eastAsia" w:eastAsia="黑体" w:cstheme="majorBidi"/>
              <w:sz w:val="24"/>
              <w:szCs w:val="24"/>
            </w:rPr>
            <w:t>二、机构设置</w:t>
          </w:r>
          <w:r>
            <w:rPr>
              <w:sz w:val="24"/>
              <w:szCs w:val="24"/>
            </w:rPr>
            <w:tab/>
          </w:r>
          <w:r>
            <w:rPr>
              <w:sz w:val="24"/>
              <w:szCs w:val="24"/>
            </w:rPr>
            <w:t>1</w:t>
          </w:r>
          <w:r>
            <w:rPr>
              <w:sz w:val="24"/>
              <w:szCs w:val="24"/>
            </w:rPr>
            <w:fldChar w:fldCharType="end"/>
          </w:r>
        </w:p>
        <w:p>
          <w:pPr>
            <w:pStyle w:val="35"/>
            <w:tabs>
              <w:tab w:val="right" w:leader="dot" w:pos="8306"/>
            </w:tabs>
            <w:spacing w:line="360" w:lineRule="exact"/>
            <w:rPr>
              <w:sz w:val="24"/>
              <w:szCs w:val="24"/>
            </w:rPr>
          </w:pPr>
          <w:r>
            <w:fldChar w:fldCharType="begin"/>
          </w:r>
          <w:r>
            <w:instrText xml:space="preserve"> HYPERLINK \l "_Toc12752" </w:instrText>
          </w:r>
          <w:r>
            <w:fldChar w:fldCharType="separate"/>
          </w:r>
          <w:r>
            <w:rPr>
              <w:rFonts w:hint="eastAsia" w:eastAsia="方正小标宋简体" w:cs="方正小标宋简体"/>
              <w:b/>
              <w:bCs/>
              <w:sz w:val="24"/>
              <w:szCs w:val="24"/>
            </w:rPr>
            <w:t>第二部分  2025年度单位决算情况说明</w:t>
          </w:r>
          <w:r>
            <w:rPr>
              <w:bCs/>
              <w:sz w:val="24"/>
              <w:szCs w:val="24"/>
            </w:rPr>
            <w:tab/>
          </w:r>
          <w:r>
            <w:rPr>
              <w:b/>
              <w:bCs/>
              <w:sz w:val="24"/>
              <w:szCs w:val="24"/>
            </w:rPr>
            <w:t>2</w:t>
          </w:r>
          <w:r>
            <w:rPr>
              <w:b/>
              <w:bCs/>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"_Toc17455" </w:instrText>
          </w:r>
          <w:r>
            <w:fldChar w:fldCharType="separate"/>
          </w:r>
          <w:r>
            <w:rPr>
              <w:rFonts w:hint="eastAsia" w:eastAsia="黑体"/>
              <w:sz w:val="24"/>
              <w:szCs w:val="24"/>
            </w:rPr>
            <w:t>一、收</w:t>
          </w:r>
          <w:r>
            <w:rPr>
              <w:rFonts w:hint="eastAsia" w:eastAsia="黑体" w:cstheme="majorBidi"/>
              <w:sz w:val="24"/>
              <w:szCs w:val="24"/>
            </w:rPr>
            <w:t>入支出决算总体情况说明</w:t>
          </w:r>
          <w:r>
            <w:rPr>
              <w:sz w:val="24"/>
              <w:szCs w:val="24"/>
            </w:rPr>
            <w:tab/>
          </w:r>
          <w:r>
            <w:rPr>
              <w:sz w:val="24"/>
              <w:szCs w:val="24"/>
            </w:rPr>
            <w:t>2</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"_Toc9034" </w:instrText>
          </w:r>
          <w:r>
            <w:fldChar w:fldCharType="separate"/>
          </w:r>
          <w:r>
            <w:rPr>
              <w:rFonts w:hint="eastAsia" w:eastAsia="黑体"/>
              <w:sz w:val="24"/>
              <w:szCs w:val="24"/>
            </w:rPr>
            <w:t>二、收入决算情况说明</w:t>
          </w:r>
          <w:r>
            <w:rPr>
              <w:sz w:val="24"/>
              <w:szCs w:val="24"/>
            </w:rPr>
            <w:tab/>
          </w:r>
          <w:r>
            <w:rPr>
              <w:sz w:val="24"/>
              <w:szCs w:val="24"/>
            </w:rPr>
            <w:t>2</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"_Toc30407" </w:instrText>
          </w:r>
          <w:r>
            <w:fldChar w:fldCharType="separate"/>
          </w:r>
          <w:r>
            <w:rPr>
              <w:rFonts w:hint="eastAsia" w:eastAsia="黑体"/>
              <w:sz w:val="24"/>
              <w:szCs w:val="24"/>
            </w:rPr>
            <w:t>三、支</w:t>
          </w:r>
          <w:r>
            <w:rPr>
              <w:rFonts w:hint="eastAsia" w:eastAsia="黑体" w:cstheme="majorBidi"/>
              <w:sz w:val="24"/>
              <w:szCs w:val="24"/>
            </w:rPr>
            <w:t>出决算情况说明</w:t>
          </w:r>
          <w:r>
            <w:rPr>
              <w:sz w:val="24"/>
              <w:szCs w:val="24"/>
            </w:rPr>
            <w:tab/>
          </w:r>
          <w:r>
            <w:rPr>
              <w:sz w:val="24"/>
              <w:szCs w:val="24"/>
            </w:rPr>
            <w:t>3</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"_Toc20373" </w:instrText>
          </w:r>
          <w:r>
            <w:fldChar w:fldCharType="separate"/>
          </w:r>
          <w:r>
            <w:rPr>
              <w:rFonts w:hint="eastAsia" w:eastAsia="黑体"/>
              <w:sz w:val="24"/>
              <w:szCs w:val="24"/>
            </w:rPr>
            <w:t>四、财</w:t>
          </w:r>
          <w:r>
            <w:rPr>
              <w:rFonts w:hint="eastAsia" w:eastAsia="黑体" w:cstheme="majorBidi"/>
              <w:sz w:val="24"/>
              <w:szCs w:val="24"/>
            </w:rPr>
            <w:t>政拨款收入支出决算总体情况说明</w:t>
          </w:r>
          <w:r>
            <w:rPr>
              <w:sz w:val="24"/>
              <w:szCs w:val="24"/>
            </w:rPr>
            <w:tab/>
          </w:r>
          <w:r>
            <w:rPr>
              <w:rFonts w:hint="eastAsia"/>
              <w:sz w:val="24"/>
              <w:szCs w:val="24"/>
            </w:rPr>
            <w:t>4</w:t>
          </w:r>
          <w:r>
            <w:rPr>
              <w:rFonts w:hint="eastAsia"/>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"_Toc6727" </w:instrText>
          </w:r>
          <w:r>
            <w:fldChar w:fldCharType="separate"/>
          </w:r>
          <w:r>
            <w:rPr>
              <w:rFonts w:hint="eastAsia" w:eastAsia="黑体"/>
              <w:sz w:val="24"/>
              <w:szCs w:val="24"/>
            </w:rPr>
            <w:t>五、一</w:t>
          </w:r>
          <w:r>
            <w:rPr>
              <w:rFonts w:hint="eastAsia" w:eastAsia="黑体" w:cstheme="majorBidi"/>
              <w:sz w:val="24"/>
              <w:szCs w:val="24"/>
            </w:rPr>
            <w:t>般公共预算财政拨款支出决算情况说明</w:t>
          </w:r>
          <w:r>
            <w:rPr>
              <w:sz w:val="24"/>
              <w:szCs w:val="24"/>
            </w:rPr>
            <w:tab/>
          </w:r>
          <w:r>
            <w:rPr>
              <w:sz w:val="24"/>
              <w:szCs w:val="24"/>
            </w:rPr>
            <w:t>4</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"_Toc3599" </w:instrText>
          </w:r>
          <w:r>
            <w:fldChar w:fldCharType="separate"/>
          </w:r>
          <w:r>
            <w:rPr>
              <w:rFonts w:hint="eastAsia" w:eastAsia="黑体"/>
              <w:sz w:val="24"/>
              <w:szCs w:val="24"/>
            </w:rPr>
            <w:t>六、一</w:t>
          </w:r>
          <w:r>
            <w:rPr>
              <w:rFonts w:hint="eastAsia" w:eastAsia="黑体" w:cstheme="majorBidi"/>
              <w:sz w:val="24"/>
              <w:szCs w:val="24"/>
            </w:rPr>
            <w:t>般公共预算财政拨款基本支出决算情况说明</w:t>
          </w:r>
          <w:r>
            <w:rPr>
              <w:sz w:val="24"/>
              <w:szCs w:val="24"/>
            </w:rPr>
            <w:tab/>
          </w:r>
          <w:r>
            <w:rPr>
              <w:sz w:val="24"/>
              <w:szCs w:val="24"/>
            </w:rPr>
            <w:t>6</w:t>
          </w:r>
          <w:r>
            <w:rPr>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"_Toc32139" </w:instrText>
          </w:r>
          <w:r>
            <w:fldChar w:fldCharType="separate"/>
          </w:r>
          <w:r>
            <w:rPr>
              <w:rFonts w:hint="eastAsia" w:eastAsia="黑体"/>
              <w:sz w:val="24"/>
              <w:szCs w:val="24"/>
            </w:rPr>
            <w:t>七、</w:t>
          </w:r>
          <w:r>
            <w:rPr>
              <w:rFonts w:hint="eastAsia" w:eastAsia="黑体" w:cstheme="majorBidi"/>
              <w:sz w:val="24"/>
              <w:szCs w:val="24"/>
            </w:rPr>
            <w:t>财政拨款“三公”经费支出决算情况说明</w:t>
          </w:r>
          <w:r>
            <w:rPr>
              <w:sz w:val="24"/>
              <w:szCs w:val="24"/>
            </w:rPr>
            <w:tab/>
          </w:r>
          <w:r>
            <w:rPr>
              <w:rFonts w:hint="eastAsia"/>
              <w:sz w:val="24"/>
              <w:szCs w:val="24"/>
            </w:rPr>
            <w:t>7</w:t>
          </w:r>
          <w:r>
            <w:rPr>
              <w:rFonts w:hint="eastAsia"/>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"_Toc15181" </w:instrText>
          </w:r>
          <w:r>
            <w:fldChar w:fldCharType="separate"/>
          </w:r>
          <w:r>
            <w:rPr>
              <w:rFonts w:hint="eastAsia" w:eastAsia="黑体"/>
              <w:sz w:val="24"/>
              <w:szCs w:val="24"/>
            </w:rPr>
            <w:t>八、</w:t>
          </w:r>
          <w:r>
            <w:rPr>
              <w:rFonts w:hint="eastAsia" w:eastAsia="黑体" w:cstheme="majorBidi"/>
              <w:sz w:val="24"/>
              <w:szCs w:val="24"/>
            </w:rPr>
            <w:t>政府性基金预算支出决算情况说明</w:t>
          </w:r>
          <w:r>
            <w:rPr>
              <w:sz w:val="24"/>
              <w:szCs w:val="24"/>
            </w:rPr>
            <w:tab/>
          </w:r>
          <w:r>
            <w:rPr>
              <w:rFonts w:hint="eastAsia"/>
              <w:sz w:val="24"/>
              <w:szCs w:val="24"/>
            </w:rPr>
            <w:t>9</w:t>
          </w:r>
          <w:r>
            <w:rPr>
              <w:rFonts w:hint="eastAsia"/>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"_Toc22357" </w:instrText>
          </w:r>
          <w:r>
            <w:fldChar w:fldCharType="separate"/>
          </w:r>
          <w:r>
            <w:rPr>
              <w:rFonts w:hint="eastAsia" w:eastAsia="黑体" w:cstheme="majorBidi"/>
              <w:sz w:val="24"/>
              <w:szCs w:val="24"/>
            </w:rPr>
            <w:t>九、国有资本经营预算支出决算情况说明</w:t>
          </w:r>
          <w:r>
            <w:rPr>
              <w:sz w:val="24"/>
              <w:szCs w:val="24"/>
            </w:rPr>
            <w:tab/>
          </w:r>
          <w:r>
            <w:rPr>
              <w:rFonts w:hint="eastAsia"/>
              <w:sz w:val="24"/>
              <w:szCs w:val="24"/>
            </w:rPr>
            <w:t>9</w:t>
          </w:r>
          <w:r>
            <w:rPr>
              <w:rFonts w:hint="eastAsia"/>
              <w:sz w:val="24"/>
              <w:szCs w:val="24"/>
            </w:rPr>
            <w:fldChar w:fldCharType="end"/>
          </w:r>
        </w:p>
        <w:p>
          <w:pPr>
            <w:pStyle w:val="36"/>
            <w:tabs>
              <w:tab w:val="right" w:leader="dot" w:pos="8306"/>
            </w:tabs>
            <w:spacing w:line="360" w:lineRule="exact"/>
            <w:ind w:left="420"/>
            <w:rPr>
              <w:sz w:val="24"/>
              <w:szCs w:val="24"/>
            </w:rPr>
          </w:pPr>
          <w:r>
            <w:fldChar w:fldCharType="begin"/>
          </w:r>
          <w:r>
            <w:instrText xml:space="preserve"> HYPERLINK \l "_Toc21891" </w:instrText>
          </w:r>
          <w:r>
            <w:fldChar w:fldCharType="separate"/>
          </w:r>
          <w:r>
            <w:rPr>
              <w:rFonts w:hint="eastAsia" w:eastAsia="黑体" w:cstheme="majorBidi"/>
              <w:sz w:val="24"/>
              <w:szCs w:val="24"/>
            </w:rPr>
            <w:t>十、其他重要事项的情况说明</w:t>
          </w:r>
          <w:r>
            <w:rPr>
              <w:sz w:val="24"/>
              <w:szCs w:val="24"/>
            </w:rPr>
            <w:tab/>
          </w:r>
          <w:r>
            <w:rPr>
              <w:rFonts w:hint="eastAsia"/>
              <w:sz w:val="24"/>
              <w:szCs w:val="24"/>
            </w:rPr>
            <w:t>9</w:t>
          </w:r>
          <w:r>
            <w:rPr>
              <w:rFonts w:hint="eastAsia"/>
              <w:sz w:val="24"/>
              <w:szCs w:val="24"/>
            </w:rPr>
            <w:fldChar w:fldCharType="end"/>
          </w:r>
        </w:p>
        <w:p>
          <w:pPr>
            <w:pStyle w:val="35"/>
            <w:tabs>
              <w:tab w:val="right" w:leader="dot" w:pos="8306"/>
            </w:tabs>
            <w:spacing w:line="360" w:lineRule="exact"/>
            <w:rPr>
              <w:sz w:val="24"/>
              <w:szCs w:val="24"/>
            </w:rPr>
          </w:pPr>
          <w:r>
            <w:fldChar w:fldCharType="begin"/>
          </w:r>
          <w:r>
            <w:instrText xml:space="preserve"> HYPERLINK \l "_Toc11677" </w:instrText>
          </w:r>
          <w:r>
            <w:fldChar w:fldCharType="separate"/>
          </w:r>
          <w:r>
            <w:rPr>
              <w:rFonts w:hint="eastAsia" w:eastAsia="黑体"/>
              <w:b/>
              <w:bCs/>
              <w:sz w:val="24"/>
              <w:szCs w:val="24"/>
            </w:rPr>
            <w:t>第三部分  名词解释</w:t>
          </w:r>
          <w:r>
            <w:rPr>
              <w:b/>
              <w:bCs/>
              <w:sz w:val="24"/>
              <w:szCs w:val="24"/>
            </w:rPr>
            <w:tab/>
          </w:r>
          <w:r>
            <w:rPr>
              <w:bCs/>
              <w:sz w:val="24"/>
              <w:szCs w:val="24"/>
            </w:rPr>
            <w:t>12</w:t>
          </w:r>
          <w:r>
            <w:rPr>
              <w:bCs/>
              <w:sz w:val="24"/>
              <w:szCs w:val="24"/>
            </w:rPr>
            <w:fldChar w:fldCharType="end"/>
          </w:r>
        </w:p>
        <w:p>
          <w:pPr>
            <w:pStyle w:val="35"/>
            <w:tabs>
              <w:tab w:val="right" w:leader="dot" w:pos="8306"/>
            </w:tabs>
            <w:spacing w:line="360" w:lineRule="exact"/>
            <w:rPr>
              <w:sz w:val="24"/>
              <w:szCs w:val="24"/>
            </w:rPr>
          </w:pPr>
          <w:r>
            <w:fldChar w:fldCharType="begin"/>
          </w:r>
          <w:r>
            <w:instrText xml:space="preserve"> HYPERLINK \l "_Toc4366" </w:instrText>
          </w:r>
          <w:r>
            <w:fldChar w:fldCharType="separate"/>
          </w:r>
          <w:r>
            <w:rPr>
              <w:rFonts w:hint="eastAsia" w:eastAsia="黑体"/>
              <w:b/>
              <w:bCs/>
              <w:sz w:val="24"/>
              <w:szCs w:val="24"/>
            </w:rPr>
            <w:t>第四部分  附件</w:t>
          </w:r>
          <w:r>
            <w:rPr>
              <w:b/>
              <w:bCs/>
              <w:sz w:val="24"/>
              <w:szCs w:val="24"/>
            </w:rPr>
            <w:tab/>
          </w:r>
          <w:r>
            <w:rPr>
              <w:bCs/>
              <w:sz w:val="24"/>
              <w:szCs w:val="24"/>
            </w:rPr>
            <w:t>14</w:t>
          </w:r>
          <w:r>
            <w:rPr>
              <w:bCs/>
              <w:sz w:val="24"/>
              <w:szCs w:val="24"/>
            </w:rPr>
            <w:fldChar w:fldCharType="end"/>
          </w:r>
        </w:p>
        <w:p>
          <w:pPr>
            <w:pStyle w:val="35"/>
            <w:tabs>
              <w:tab w:val="right" w:leader="dot" w:pos="8306"/>
            </w:tabs>
            <w:spacing w:line="360" w:lineRule="exact"/>
            <w:rPr>
              <w:sz w:val="24"/>
              <w:szCs w:val="24"/>
            </w:rPr>
          </w:pPr>
          <w:r>
            <w:fldChar w:fldCharType="begin"/>
          </w:r>
          <w:r>
            <w:instrText xml:space="preserve"> HYPERLINK \l "_Toc14443" </w:instrText>
          </w:r>
          <w:r>
            <w:fldChar w:fldCharType="separate"/>
          </w:r>
          <w:r>
            <w:rPr>
              <w:rFonts w:hint="eastAsia" w:eastAsia="黑体"/>
              <w:b/>
              <w:bCs/>
              <w:sz w:val="24"/>
              <w:szCs w:val="24"/>
            </w:rPr>
            <w:t>第五部分 附表</w:t>
          </w:r>
          <w:r>
            <w:rPr>
              <w:b/>
              <w:bCs/>
              <w:sz w:val="24"/>
              <w:szCs w:val="24"/>
            </w:rPr>
            <w:tab/>
          </w:r>
          <w:r>
            <w:rPr>
              <w:bCs/>
              <w:sz w:val="24"/>
              <w:szCs w:val="24"/>
            </w:rPr>
            <w:t>15</w:t>
          </w:r>
          <w:r>
            <w:rPr>
              <w:bCs/>
              <w:sz w:val="24"/>
              <w:szCs w:val="24"/>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"_Toc20089" </w:instrText>
          </w:r>
          <w:r>
            <w:fldChar w:fldCharType="separate"/>
          </w:r>
          <w:r>
            <w:rPr>
              <w:rFonts w:hint="eastAsia" w:ascii="方正黑体_GBK" w:eastAsia="方正黑体_GBK"/>
              <w:sz w:val="22"/>
              <w:szCs w:val="22"/>
            </w:rPr>
            <w:t>一、收入支出决算总表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"_Toc9297" </w:instrText>
          </w:r>
          <w:r>
            <w:fldChar w:fldCharType="separate"/>
          </w:r>
          <w:r>
            <w:rPr>
              <w:rFonts w:hint="eastAsia" w:ascii="方正黑体_GBK" w:eastAsia="方正黑体_GBK"/>
              <w:sz w:val="22"/>
              <w:szCs w:val="22"/>
            </w:rPr>
            <w:t>二、收入决算表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"_Toc25969" </w:instrText>
          </w:r>
          <w:r>
            <w:fldChar w:fldCharType="separate"/>
          </w:r>
          <w:r>
            <w:rPr>
              <w:rFonts w:hint="eastAsia" w:ascii="方正黑体_GBK" w:eastAsia="方正黑体_GBK"/>
              <w:sz w:val="22"/>
              <w:szCs w:val="22"/>
            </w:rPr>
            <w:t>三、支出决算表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"_Toc31243" </w:instrText>
          </w:r>
          <w:r>
            <w:fldChar w:fldCharType="separate"/>
          </w:r>
          <w:r>
            <w:rPr>
              <w:rFonts w:hint="eastAsia" w:ascii="方正黑体_GBK" w:eastAsia="方正黑体_GBK"/>
              <w:sz w:val="22"/>
              <w:szCs w:val="22"/>
            </w:rPr>
            <w:t>四、财政拨款收入支出决算总表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"_Toc5247" </w:instrText>
          </w:r>
          <w:r>
            <w:fldChar w:fldCharType="separate"/>
          </w:r>
          <w:r>
            <w:rPr>
              <w:rFonts w:hint="eastAsia" w:ascii="方正黑体_GBK" w:eastAsia="方正黑体_GBK"/>
              <w:sz w:val="22"/>
              <w:szCs w:val="22"/>
            </w:rPr>
            <w:t>五、财政拨款支出决算明细表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"_Toc23502" </w:instrText>
          </w:r>
          <w:r>
            <w:fldChar w:fldCharType="separate"/>
          </w:r>
          <w:r>
            <w:rPr>
              <w:rFonts w:hint="eastAsia" w:ascii="方正黑体_GBK" w:eastAsia="方正黑体_GBK"/>
              <w:sz w:val="22"/>
              <w:szCs w:val="22"/>
            </w:rPr>
            <w:t>六、一般公共预算财政拨款支出决算表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"_Toc9099" </w:instrText>
          </w:r>
          <w:r>
            <w:fldChar w:fldCharType="separate"/>
          </w:r>
          <w:r>
            <w:rPr>
              <w:rFonts w:hint="eastAsia" w:ascii="方正黑体_GBK" w:eastAsia="方正黑体_GBK"/>
              <w:sz w:val="22"/>
              <w:szCs w:val="22"/>
            </w:rPr>
            <w:t>七、一般公共预算财政拨款支出决算明细表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"_Toc3654" </w:instrText>
          </w:r>
          <w:r>
            <w:fldChar w:fldCharType="separate"/>
          </w:r>
          <w:r>
            <w:rPr>
              <w:rFonts w:hint="eastAsia" w:ascii="方正黑体_GBK" w:eastAsia="方正黑体_GBK"/>
              <w:sz w:val="22"/>
              <w:szCs w:val="22"/>
            </w:rPr>
            <w:t>八、一般公共预算财政拨款基本支出决算表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"_Toc30574" </w:instrText>
          </w:r>
          <w:r>
            <w:fldChar w:fldCharType="separate"/>
          </w:r>
          <w:r>
            <w:rPr>
              <w:rFonts w:hint="eastAsia" w:ascii="方正黑体_GBK" w:eastAsia="方正黑体_GBK"/>
              <w:sz w:val="22"/>
              <w:szCs w:val="22"/>
            </w:rPr>
            <w:t>九、一般公共预算财政拨款项目支出决算表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"_Toc12890" </w:instrText>
          </w:r>
          <w:r>
            <w:fldChar w:fldCharType="separate"/>
          </w:r>
          <w:r>
            <w:rPr>
              <w:rFonts w:hint="eastAsia" w:ascii="方正黑体_GBK" w:eastAsia="方正黑体_GBK"/>
              <w:sz w:val="22"/>
              <w:szCs w:val="22"/>
            </w:rPr>
            <w:t>十、政府性基金预算财政拨款收入支出决算表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"_Toc1823" </w:instrText>
          </w:r>
          <w:r>
            <w:fldChar w:fldCharType="separate"/>
          </w:r>
          <w:r>
            <w:rPr>
              <w:rFonts w:hint="eastAsia" w:ascii="方正黑体_GBK" w:eastAsia="方正黑体_GBK"/>
              <w:sz w:val="22"/>
              <w:szCs w:val="22"/>
            </w:rPr>
            <w:t>十一、国有资本经营预算财政拨款收入支出决算表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rFonts w:ascii="方正黑体_GBK" w:eastAsia="方正黑体_GBK"/>
              <w:sz w:val="22"/>
              <w:szCs w:val="22"/>
            </w:rPr>
          </w:pPr>
          <w:r>
            <w:fldChar w:fldCharType="begin"/>
          </w:r>
          <w:r>
            <w:instrText xml:space="preserve"> HYPERLINK \l "_Toc32294" </w:instrText>
          </w:r>
          <w:r>
            <w:fldChar w:fldCharType="separate"/>
          </w:r>
          <w:r>
            <w:rPr>
              <w:rFonts w:hint="eastAsia" w:ascii="方正黑体_GBK" w:eastAsia="方正黑体_GBK"/>
              <w:sz w:val="22"/>
              <w:szCs w:val="22"/>
            </w:rPr>
            <w:t>十二、国有资本经营预算财政拨款支出决算表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p>
          <w:pPr>
            <w:pStyle w:val="36"/>
            <w:tabs>
              <w:tab w:val="right" w:leader="dot" w:pos="8306"/>
            </w:tabs>
            <w:spacing w:line="360" w:lineRule="exact"/>
            <w:ind w:left="420"/>
            <w:rPr>
              <w:sz w:val="24"/>
              <w:szCs w:val="24"/>
            </w:rPr>
          </w:pPr>
          <w:r>
            <w:fldChar w:fldCharType="begin"/>
          </w:r>
          <w:r>
            <w:instrText xml:space="preserve"> HYPERLINK \l "_Toc26431" </w:instrText>
          </w:r>
          <w:r>
            <w:fldChar w:fldCharType="separate"/>
          </w:r>
          <w:r>
            <w:rPr>
              <w:rFonts w:hint="eastAsia" w:ascii="方正黑体_GBK" w:eastAsia="方正黑体_GBK"/>
              <w:sz w:val="22"/>
              <w:szCs w:val="22"/>
            </w:rPr>
            <w:t>十三、财政拨款“三公”经费支出决算表</w:t>
          </w:r>
          <w:r>
            <w:rPr>
              <w:rFonts w:hint="eastAsia" w:ascii="方正黑体_GBK" w:eastAsia="方正黑体_GBK"/>
              <w:sz w:val="22"/>
              <w:szCs w:val="22"/>
            </w:rPr>
            <w:tab/>
          </w:r>
          <w:r>
            <w:rPr>
              <w:rFonts w:hint="eastAsia" w:ascii="方正黑体_GBK" w:eastAsia="方正黑体_GBK"/>
              <w:sz w:val="22"/>
              <w:szCs w:val="22"/>
            </w:rPr>
            <w:t>15</w:t>
          </w:r>
          <w:r>
            <w:rPr>
              <w:rFonts w:hint="eastAsia" w:ascii="方正黑体_GBK" w:eastAsia="方正黑体_GBK"/>
              <w:sz w:val="22"/>
              <w:szCs w:val="22"/>
            </w:rPr>
            <w:fldChar w:fldCharType="end"/>
          </w:r>
        </w:p>
      </w:sdtContent>
    </w:sdt>
    <w:p>
      <w:bookmarkStart w:id="7" w:name="_Toc15396599"/>
      <w:bookmarkStart w:id="8" w:name="_Toc15377196"/>
    </w:p>
    <w:p>
      <w:pPr>
        <w:pStyle w:val="2"/>
      </w:pPr>
    </w:p>
    <w:p>
      <w:pPr>
        <w:pStyle w:val="3"/>
        <w:ind w:left="420"/>
        <w:sectPr>
          <w:footerReference r:id="rId3" w:type="default"/>
          <w:pgSz w:w="11906" w:h="16838"/>
          <w:pgMar w:top="1440" w:right="1800" w:bottom="1440" w:left="1800" w:header="851" w:footer="992" w:gutter="0"/>
          <w:pgNumType w:fmt="numberInDash" w:start="1"/>
          <w:cols w:space="425" w:num="1"/>
          <w:docGrid w:type="lines" w:linePitch="312" w:charSpace="0"/>
        </w:sectPr>
      </w:pPr>
    </w:p>
    <w:p>
      <w:pPr>
        <w:pStyle w:val="3"/>
        <w:ind w:left="420"/>
      </w:pPr>
    </w:p>
    <w:p/>
    <w:p>
      <w:pPr>
        <w:pStyle w:val="5"/>
        <w:ind w:firstLine="1760" w:firstLineChars="400"/>
        <w:rPr>
          <w:rFonts w:eastAsia="方正小标宋简体" w:cs="方正小标宋简体"/>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7"/>
      <w:bookmarkEnd w:id="8"/>
    </w:p>
    <w:p>
      <w:pPr>
        <w:pStyle w:val="6"/>
        <w:spacing w:before="0" w:after="0" w:line="600" w:lineRule="exact"/>
        <w:rPr>
          <w:rFonts w:ascii="Times New Roman" w:hAnsi="Times New Roman" w:eastAsia="黑体"/>
          <w:b w:val="0"/>
        </w:rPr>
      </w:pPr>
      <w:bookmarkStart w:id="9" w:name="_Toc15377197"/>
      <w:bookmarkStart w:id="10" w:name="_Toc15396600"/>
      <w:r>
        <w:rPr>
          <w:rFonts w:hint="eastAsia" w:ascii="Times New Roman" w:hAnsi="Times New Roman" w:eastAsia="黑体"/>
          <w:b w:val="0"/>
        </w:rPr>
        <w:t>一、</w:t>
      </w:r>
      <w:bookmarkEnd w:id="9"/>
      <w:bookmarkEnd w:id="10"/>
      <w:r>
        <w:rPr>
          <w:rFonts w:hint="eastAsia" w:ascii="Times New Roman" w:hAnsi="Times New Roman" w:eastAsia="黑体"/>
          <w:b w:val="0"/>
        </w:rPr>
        <w:t>部门职责</w:t>
      </w:r>
    </w:p>
    <w:p>
      <w:pPr>
        <w:spacing w:line="600" w:lineRule="exact"/>
        <w:ind w:firstLine="800" w:firstLineChars="250"/>
        <w:rPr>
          <w:rFonts w:ascii="仿宋_GB2312" w:hAnsi="仿宋_GB2312" w:eastAsia="仿宋_GB2312" w:cs="仿宋_GB2312"/>
          <w:sz w:val="32"/>
          <w:szCs w:val="32"/>
        </w:rPr>
      </w:pPr>
      <w:r>
        <w:rPr>
          <w:rFonts w:ascii="仿宋_GB2312" w:hAnsi="仿宋_GB2312" w:eastAsia="仿宋_GB2312" w:cs="仿宋_GB2312"/>
          <w:sz w:val="32"/>
          <w:szCs w:val="32"/>
        </w:rPr>
        <w:t>攀枝花市12345群众服务中心为攀枝花市城市管理行政执法局所属公益一类事业单位，主要职责为：负责全市数字（智慧）城管、12345热线的运行管理、技保、考核评价；负责采集、派遣、督办城市问题；开展综合民生政务热线服务，推动民生政务服务资源优化配置。</w:t>
      </w:r>
    </w:p>
    <w:p>
      <w:pPr>
        <w:pStyle w:val="6"/>
        <w:spacing w:before="0" w:after="0" w:line="600" w:lineRule="exact"/>
        <w:rPr>
          <w:rStyle w:val="29"/>
          <w:rFonts w:ascii="Times New Roman" w:hAnsi="Times New Roman"/>
          <w:b w:val="0"/>
          <w:bCs w:val="0"/>
        </w:rPr>
      </w:pPr>
      <w:bookmarkStart w:id="11" w:name="_Toc15377200"/>
      <w:bookmarkStart w:id="12"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1"/>
      <w:bookmarkEnd w:id="12"/>
    </w:p>
    <w:p>
      <w:pPr>
        <w:spacing w:line="600" w:lineRule="exact"/>
        <w:ind w:firstLine="800" w:firstLineChars="250"/>
        <w:rPr>
          <w:rFonts w:eastAsia="仿宋_GB2312" w:cs="仿宋_GB2312"/>
          <w:sz w:val="32"/>
          <w:szCs w:val="32"/>
        </w:rPr>
      </w:pPr>
      <w:r>
        <w:rPr>
          <w:rFonts w:hint="eastAsia" w:ascii="仿宋_GB2312" w:hAnsi="仿宋_GB2312" w:eastAsia="仿宋_GB2312" w:cs="仿宋_GB2312"/>
          <w:sz w:val="32"/>
          <w:szCs w:val="32"/>
        </w:rPr>
        <w:t>攀枝花市12345群众服务中心</w:t>
      </w:r>
      <w:r>
        <w:rPr>
          <w:rFonts w:hint="eastAsia" w:eastAsia="仿宋_GB2312" w:cs="仿宋_GB2312"/>
          <w:sz w:val="32"/>
          <w:szCs w:val="32"/>
        </w:rPr>
        <w:t>下属二级预算单位1个，其中行政单位0个，参照公务员法管理的事业单位</w:t>
      </w:r>
      <w:r>
        <w:rPr>
          <w:rFonts w:hint="eastAsia" w:eastAsia="仿宋_GB2312" w:cs="仿宋_GB2312"/>
          <w:bCs/>
          <w:sz w:val="32"/>
          <w:szCs w:val="32"/>
        </w:rPr>
        <w:t>0</w:t>
      </w:r>
      <w:r>
        <w:rPr>
          <w:rFonts w:hint="eastAsia" w:eastAsia="仿宋_GB2312" w:cs="仿宋_GB2312"/>
          <w:sz w:val="32"/>
          <w:szCs w:val="32"/>
        </w:rPr>
        <w:t>个，其他事业单位1个。</w:t>
      </w:r>
    </w:p>
    <w:p>
      <w:pPr>
        <w:pStyle w:val="8"/>
        <w:adjustRightInd w:val="0"/>
        <w:snapToGrid w:val="0"/>
        <w:spacing w:beforeLines="0" w:line="600" w:lineRule="exact"/>
        <w:ind w:firstLine="672" w:firstLineChars="210"/>
        <w:rPr>
          <w:rFonts w:ascii="Times New Roman" w:cs="仿宋_GB2312"/>
          <w:sz w:val="32"/>
          <w:szCs w:val="32"/>
        </w:rPr>
      </w:pPr>
      <w:r>
        <w:rPr>
          <w:rFonts w:hint="eastAsia" w:ascii="Times New Roman" w:cs="仿宋_GB2312"/>
          <w:sz w:val="32"/>
          <w:szCs w:val="32"/>
        </w:rPr>
        <w:t>纳入</w:t>
      </w:r>
      <w:r>
        <w:rPr>
          <w:rFonts w:hint="eastAsia" w:hAnsi="仿宋_GB2312" w:cs="仿宋_GB2312"/>
          <w:sz w:val="32"/>
          <w:szCs w:val="32"/>
        </w:rPr>
        <w:t>攀枝花市12345群众服务中心</w:t>
      </w:r>
      <w:r>
        <w:rPr>
          <w:rFonts w:hint="eastAsia" w:ascii="Times New Roman" w:cs="仿宋_GB2312"/>
          <w:sz w:val="32"/>
          <w:szCs w:val="32"/>
        </w:rPr>
        <w:t>2025年度部门决算编制范围的二级预算单位包括：</w:t>
      </w:r>
    </w:p>
    <w:p>
      <w:pPr>
        <w:pStyle w:val="8"/>
        <w:adjustRightInd w:val="0"/>
        <w:snapToGrid w:val="0"/>
        <w:spacing w:beforeLines="0" w:line="600" w:lineRule="exact"/>
        <w:ind w:firstLine="672" w:firstLineChars="210"/>
        <w:rPr>
          <w:rFonts w:ascii="Times New Roman" w:cs="仿宋_GB2312"/>
          <w:sz w:val="32"/>
          <w:szCs w:val="32"/>
        </w:rPr>
      </w:pPr>
      <w:r>
        <w:rPr>
          <w:rFonts w:hint="eastAsia" w:ascii="Times New Roman" w:cs="仿宋_GB2312"/>
          <w:sz w:val="32"/>
          <w:szCs w:val="32"/>
        </w:rPr>
        <w:t>1.</w:t>
      </w:r>
      <w:r>
        <w:rPr>
          <w:rFonts w:ascii="Times New Roman" w:cs="仿宋_GB2312"/>
          <w:sz w:val="32"/>
          <w:szCs w:val="32"/>
        </w:rPr>
        <w:t>攀枝花市12345群众服务中心</w:t>
      </w:r>
    </w:p>
    <w:p>
      <w:pPr>
        <w:widowControl/>
        <w:jc w:val="left"/>
        <w:rPr>
          <w:rFonts w:eastAsia="仿宋"/>
          <w:sz w:val="32"/>
          <w:szCs w:val="32"/>
        </w:rPr>
      </w:pPr>
    </w:p>
    <w:p>
      <w:pPr>
        <w:pStyle w:val="2"/>
      </w:pPr>
    </w:p>
    <w:p>
      <w:pPr>
        <w:pStyle w:val="3"/>
        <w:ind w:left="420"/>
      </w:pPr>
    </w:p>
    <w:p/>
    <w:p>
      <w:pPr>
        <w:pStyle w:val="2"/>
      </w:pPr>
    </w:p>
    <w:p>
      <w:pPr>
        <w:pStyle w:val="3"/>
        <w:ind w:left="420"/>
      </w:pPr>
    </w:p>
    <w:p/>
    <w:p>
      <w:pPr>
        <w:pStyle w:val="2"/>
      </w:pPr>
    </w:p>
    <w:p>
      <w:pPr>
        <w:pStyle w:val="3"/>
        <w:ind w:left="420"/>
      </w:pPr>
    </w:p>
    <w:p/>
    <w:p>
      <w:pPr>
        <w:pStyle w:val="5"/>
        <w:jc w:val="center"/>
        <w:rPr>
          <w:rFonts w:eastAsia="方正小标宋简体" w:cs="方正小标宋简体"/>
          <w:b w:val="0"/>
        </w:rPr>
      </w:pPr>
      <w:bookmarkStart w:id="13" w:name="_Toc15377204"/>
      <w:bookmarkStart w:id="14" w:name="_Toc15396602"/>
      <w:r>
        <w:rPr>
          <w:rFonts w:hint="eastAsia" w:eastAsia="方正小标宋简体" w:cs="方正小标宋简体"/>
          <w:b w:val="0"/>
        </w:rPr>
        <w:t>第二部分  2025年度部门决算情况说明</w:t>
      </w:r>
      <w:bookmarkEnd w:id="13"/>
      <w:bookmarkEnd w:id="14"/>
    </w:p>
    <w:p>
      <w:pPr>
        <w:pStyle w:val="27"/>
        <w:spacing w:line="600" w:lineRule="exact"/>
        <w:ind w:firstLine="640"/>
        <w:outlineLvl w:val="1"/>
        <w:rPr>
          <w:rStyle w:val="29"/>
          <w:rFonts w:ascii="Times New Roman" w:hAnsi="Times New Roman" w:eastAsia="黑体"/>
          <w:b w:val="0"/>
        </w:rPr>
      </w:pPr>
      <w:bookmarkStart w:id="15" w:name="_Toc15396603"/>
      <w:bookmarkStart w:id="16"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5"/>
      <w:bookmarkEnd w:id="16"/>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drawing>
          <wp:anchor distT="0" distB="0" distL="114300" distR="114300" simplePos="0" relativeHeight="251658240" behindDoc="0" locked="0" layoutInCell="1" allowOverlap="1">
            <wp:simplePos x="0" y="0"/>
            <wp:positionH relativeFrom="column">
              <wp:posOffset>-133350</wp:posOffset>
            </wp:positionH>
            <wp:positionV relativeFrom="paragraph">
              <wp:posOffset>1634490</wp:posOffset>
            </wp:positionV>
            <wp:extent cx="5581650" cy="3286125"/>
            <wp:effectExtent l="19050" t="0" r="0" b="0"/>
            <wp:wrapSquare wrapText="bothSides"/>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noChangeArrowheads="true"/>
                    </pic:cNvPicPr>
                  </pic:nvPicPr>
                  <pic:blipFill>
                    <a:blip r:embed="rId6"/>
                    <a:srcRect/>
                    <a:stretch>
                      <a:fillRect/>
                    </a:stretch>
                  </pic:blipFill>
                  <pic:spPr>
                    <a:xfrm>
                      <a:off x="0" y="0"/>
                      <a:ext cx="5581650" cy="3286125"/>
                    </a:xfrm>
                    <a:prstGeom prst="rect">
                      <a:avLst/>
                    </a:prstGeom>
                    <a:noFill/>
                    <a:ln w="9525">
                      <a:noFill/>
                      <a:miter lim="800000"/>
                      <a:headEnd/>
                      <a:tailEnd/>
                    </a:ln>
                  </pic:spPr>
                </pic:pic>
              </a:graphicData>
            </a:graphic>
          </wp:anchor>
        </w:drawing>
      </w:r>
      <w:r>
        <w:rPr>
          <w:rFonts w:hint="eastAsia" w:eastAsia="仿宋_GB2312" w:cs="仿宋_GB2312"/>
          <w:sz w:val="32"/>
          <w:szCs w:val="32"/>
        </w:rPr>
        <w:t>2025年度收入、支出总计均为</w:t>
      </w:r>
      <w:r>
        <w:rPr>
          <w:rFonts w:hint="eastAsia" w:ascii="仿宋_GB2312" w:hAnsi="仿宋_GB2312" w:eastAsia="仿宋_GB2312" w:cs="仿宋_GB2312"/>
          <w:sz w:val="32"/>
          <w:szCs w:val="32"/>
        </w:rPr>
        <w:t>723.07</w:t>
      </w:r>
      <w:r>
        <w:rPr>
          <w:rFonts w:hint="eastAsia" w:eastAsia="仿宋_GB2312" w:cs="仿宋_GB2312"/>
          <w:sz w:val="32"/>
          <w:szCs w:val="32"/>
        </w:rPr>
        <w:t>万元。与上年度相比，收入、支出总计各增加29.39万元，增长4.2%。主要变动原因是根据资金安排实际情况支付了本单位项目历史欠款,同时根据政策调增了职工工资福利支出。</w:t>
      </w:r>
    </w:p>
    <w:p>
      <w:pPr>
        <w:spacing w:line="600" w:lineRule="exact"/>
        <w:outlineLvl w:val="1"/>
        <w:rPr>
          <w:rFonts w:eastAsia="仿宋_GB2312" w:cs="仿宋_GB2312"/>
          <w:sz w:val="32"/>
          <w:szCs w:val="32"/>
        </w:rPr>
      </w:pPr>
      <w:r>
        <w:rPr>
          <w:rFonts w:hint="eastAsia" w:eastAsia="仿宋_GB2312" w:cs="仿宋_GB2312"/>
          <w:sz w:val="32"/>
          <w:szCs w:val="32"/>
        </w:rPr>
        <w:t xml:space="preserve">         （图1：收入、支出决算总计变动情况图）</w:t>
      </w:r>
    </w:p>
    <w:p>
      <w:pPr>
        <w:pStyle w:val="27"/>
        <w:spacing w:line="600" w:lineRule="exact"/>
        <w:ind w:firstLine="640"/>
        <w:outlineLvl w:val="1"/>
        <w:rPr>
          <w:rFonts w:eastAsia="黑体"/>
          <w:sz w:val="32"/>
          <w:szCs w:val="32"/>
        </w:rPr>
      </w:pPr>
      <w:bookmarkStart w:id="17" w:name="_Toc15396604"/>
      <w:bookmarkStart w:id="18" w:name="_Toc15377206"/>
      <w:r>
        <w:rPr>
          <w:rFonts w:hint="eastAsia" w:eastAsia="黑体"/>
          <w:sz w:val="32"/>
          <w:szCs w:val="32"/>
        </w:rPr>
        <w:t>二、收入决算情况说明</w:t>
      </w:r>
      <w:bookmarkEnd w:id="17"/>
      <w:bookmarkEnd w:id="18"/>
    </w:p>
    <w:p>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2025年度本年收入合计</w:t>
      </w:r>
      <w:r>
        <w:rPr>
          <w:rFonts w:hint="eastAsia" w:ascii="仿宋_GB2312" w:hAnsi="仿宋_GB2312" w:eastAsia="仿宋_GB2312" w:cs="仿宋_GB2312"/>
          <w:sz w:val="32"/>
          <w:szCs w:val="32"/>
        </w:rPr>
        <w:t>723.07</w:t>
      </w:r>
      <w:r>
        <w:rPr>
          <w:rFonts w:hint="eastAsia" w:eastAsia="仿宋_GB2312" w:cs="仿宋_GB2312"/>
          <w:sz w:val="32"/>
          <w:szCs w:val="32"/>
        </w:rPr>
        <w:t>万元，其中：一般公共预算财政拨款收入</w:t>
      </w:r>
      <w:r>
        <w:rPr>
          <w:rFonts w:hint="eastAsia" w:ascii="仿宋_GB2312" w:hAnsi="仿宋_GB2312" w:eastAsia="仿宋_GB2312" w:cs="仿宋_GB2312"/>
          <w:sz w:val="32"/>
          <w:szCs w:val="32"/>
        </w:rPr>
        <w:t>723.07</w:t>
      </w:r>
      <w:r>
        <w:rPr>
          <w:rFonts w:hint="eastAsia" w:eastAsia="仿宋_GB2312" w:cs="仿宋_GB2312"/>
          <w:sz w:val="32"/>
          <w:szCs w:val="32"/>
        </w:rPr>
        <w:t>万元，占</w:t>
      </w:r>
      <w:r>
        <w:rPr>
          <w:rFonts w:hint="eastAsia" w:ascii="仿宋_GB2312" w:hAnsi="仿宋_GB2312" w:eastAsia="仿宋_GB2312" w:cs="仿宋_GB2312"/>
          <w:sz w:val="32"/>
          <w:szCs w:val="32"/>
        </w:rPr>
        <w:t>100</w:t>
      </w:r>
      <w:r>
        <w:rPr>
          <w:rFonts w:hint="eastAsia" w:eastAsia="仿宋_GB2312" w:cs="仿宋_GB2312"/>
          <w:sz w:val="32"/>
          <w:szCs w:val="32"/>
        </w:rPr>
        <w:t>%</w:t>
      </w:r>
      <w:r>
        <w:rPr>
          <w:rFonts w:hint="eastAsia" w:eastAsia="仿宋_GB2312" w:cs="仿宋_GB2312"/>
          <w:b/>
          <w:sz w:val="32"/>
          <w:szCs w:val="32"/>
        </w:rPr>
        <w:t>。</w:t>
      </w:r>
    </w:p>
    <w:p>
      <w:pPr>
        <w:spacing w:line="600" w:lineRule="exact"/>
        <w:ind w:firstLine="2310" w:firstLineChars="1100"/>
        <w:outlineLvl w:val="1"/>
        <w:rPr>
          <w:rFonts w:eastAsia="仿宋_GB2312" w:cs="仿宋_GB2312"/>
          <w:sz w:val="32"/>
          <w:szCs w:val="32"/>
        </w:rPr>
      </w:pPr>
      <w:r>
        <w:rPr>
          <w:rFonts w:hint="eastAsia"/>
        </w:rPr>
        <w:drawing>
          <wp:anchor distT="0" distB="0" distL="114300" distR="114300" simplePos="0" relativeHeight="251659264" behindDoc="1" locked="0" layoutInCell="1" allowOverlap="1">
            <wp:simplePos x="0" y="0"/>
            <wp:positionH relativeFrom="column">
              <wp:posOffset>219075</wp:posOffset>
            </wp:positionH>
            <wp:positionV relativeFrom="paragraph">
              <wp:posOffset>66675</wp:posOffset>
            </wp:positionV>
            <wp:extent cx="4743450" cy="2857500"/>
            <wp:effectExtent l="19050" t="0" r="0" b="0"/>
            <wp:wrapTight wrapText="bothSides">
              <wp:wrapPolygon>
                <wp:start x="-87" y="0"/>
                <wp:lineTo x="-87" y="21456"/>
                <wp:lineTo x="21600" y="21456"/>
                <wp:lineTo x="21600" y="0"/>
                <wp:lineTo x="-87" y="0"/>
              </wp:wrapPolygon>
            </wp:wrapTight>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7"/>
                    <a:srcRect/>
                    <a:stretch>
                      <a:fillRect/>
                    </a:stretch>
                  </pic:blipFill>
                  <pic:spPr>
                    <a:xfrm>
                      <a:off x="0" y="0"/>
                      <a:ext cx="4743450" cy="2857500"/>
                    </a:xfrm>
                    <a:prstGeom prst="rect">
                      <a:avLst/>
                    </a:prstGeom>
                    <a:noFill/>
                    <a:ln w="9525">
                      <a:noFill/>
                      <a:miter lim="800000"/>
                      <a:headEnd/>
                      <a:tailEnd/>
                    </a:ln>
                  </pic:spPr>
                </pic:pic>
              </a:graphicData>
            </a:graphic>
          </wp:anchor>
        </w:drawing>
      </w:r>
      <w:r>
        <w:rPr>
          <w:rFonts w:hint="eastAsia" w:eastAsia="仿宋_GB2312" w:cs="仿宋_GB2312"/>
          <w:sz w:val="32"/>
          <w:szCs w:val="32"/>
        </w:rPr>
        <w:t>（图2：收入决算结构图）</w:t>
      </w:r>
    </w:p>
    <w:p>
      <w:pPr>
        <w:spacing w:line="600" w:lineRule="exact"/>
        <w:outlineLvl w:val="1"/>
        <w:rPr>
          <w:rStyle w:val="29"/>
          <w:rFonts w:ascii="Times New Roman" w:hAnsi="Times New Roman" w:eastAsia="黑体"/>
          <w:b w:val="0"/>
        </w:rPr>
      </w:pPr>
      <w:bookmarkStart w:id="19" w:name="_Toc15396605"/>
      <w:bookmarkStart w:id="20" w:name="_Toc15377207"/>
      <w:r>
        <w:rPr>
          <w:rFonts w:hint="eastAsia" w:eastAsia="仿宋_GB2312" w:cs="仿宋_GB2312"/>
          <w:sz w:val="32"/>
          <w:szCs w:val="32"/>
        </w:rPr>
        <w:t xml:space="preserve">    </w:t>
      </w:r>
      <w:r>
        <w:rPr>
          <w:rFonts w:hint="eastAsia" w:eastAsia="黑体"/>
          <w:sz w:val="32"/>
          <w:szCs w:val="32"/>
        </w:rPr>
        <w:t>三、支</w:t>
      </w:r>
      <w:r>
        <w:rPr>
          <w:rStyle w:val="29"/>
          <w:rFonts w:hint="eastAsia" w:ascii="Times New Roman" w:hAnsi="Times New Roman" w:eastAsia="黑体"/>
          <w:b w:val="0"/>
        </w:rPr>
        <w:t>出决算情况说明</w:t>
      </w:r>
      <w:bookmarkEnd w:id="19"/>
      <w:bookmarkEnd w:id="20"/>
    </w:p>
    <w:p>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2025年度本年支出合计</w:t>
      </w:r>
      <w:r>
        <w:rPr>
          <w:rFonts w:hint="eastAsia" w:ascii="仿宋_GB2312" w:hAnsi="仿宋_GB2312" w:eastAsia="仿宋_GB2312" w:cs="仿宋_GB2312"/>
          <w:sz w:val="32"/>
          <w:szCs w:val="32"/>
        </w:rPr>
        <w:t>723.07</w:t>
      </w:r>
      <w:r>
        <w:rPr>
          <w:rFonts w:hint="eastAsia" w:eastAsia="仿宋_GB2312" w:cs="仿宋_GB2312"/>
          <w:sz w:val="32"/>
          <w:szCs w:val="32"/>
        </w:rPr>
        <w:t>万元，其中：基本支出</w:t>
      </w:r>
      <w:r>
        <w:rPr>
          <w:rFonts w:hint="eastAsia" w:ascii="仿宋_GB2312" w:hAnsi="仿宋_GB2312" w:eastAsia="仿宋_GB2312" w:cs="仿宋_GB2312"/>
          <w:sz w:val="32"/>
          <w:szCs w:val="32"/>
        </w:rPr>
        <w:t>262.74</w:t>
      </w:r>
      <w:r>
        <w:rPr>
          <w:rFonts w:hint="eastAsia" w:eastAsia="仿宋_GB2312" w:cs="仿宋_GB2312"/>
          <w:sz w:val="32"/>
          <w:szCs w:val="32"/>
        </w:rPr>
        <w:t>万元，占</w:t>
      </w:r>
      <w:r>
        <w:rPr>
          <w:rFonts w:hint="eastAsia" w:ascii="仿宋_GB2312" w:hAnsi="仿宋_GB2312" w:eastAsia="仿宋_GB2312" w:cs="仿宋_GB2312"/>
          <w:sz w:val="32"/>
          <w:szCs w:val="32"/>
        </w:rPr>
        <w:t>36.3</w:t>
      </w:r>
      <w:r>
        <w:rPr>
          <w:rFonts w:hint="eastAsia" w:eastAsia="仿宋_GB2312" w:cs="仿宋_GB2312"/>
          <w:sz w:val="32"/>
          <w:szCs w:val="32"/>
        </w:rPr>
        <w:t>%；项目支</w:t>
      </w:r>
      <w:r>
        <w:rPr>
          <w:rFonts w:hint="eastAsia" w:ascii="仿宋_GB2312" w:hAnsi="仿宋_GB2312" w:eastAsia="仿宋_GB2312" w:cs="仿宋_GB2312"/>
          <w:sz w:val="32"/>
          <w:szCs w:val="32"/>
        </w:rPr>
        <w:t>460.33</w:t>
      </w:r>
      <w:r>
        <w:rPr>
          <w:rFonts w:hint="eastAsia" w:eastAsia="仿宋_GB2312" w:cs="仿宋_GB2312"/>
          <w:sz w:val="32"/>
          <w:szCs w:val="32"/>
        </w:rPr>
        <w:t>万元，占</w:t>
      </w:r>
      <w:r>
        <w:rPr>
          <w:rFonts w:hint="eastAsia" w:ascii="仿宋_GB2312" w:hAnsi="仿宋_GB2312" w:eastAsia="仿宋_GB2312" w:cs="仿宋_GB2312"/>
          <w:sz w:val="32"/>
          <w:szCs w:val="32"/>
        </w:rPr>
        <w:t>63.7</w:t>
      </w:r>
      <w:r>
        <w:rPr>
          <w:rFonts w:hint="eastAsia" w:eastAsia="仿宋_GB2312" w:cs="仿宋_GB2312"/>
          <w:sz w:val="32"/>
          <w:szCs w:val="32"/>
        </w:rPr>
        <w:t>%</w:t>
      </w:r>
      <w:r>
        <w:rPr>
          <w:rFonts w:eastAsia="仿宋_GB2312" w:cs="仿宋_GB2312"/>
          <w:b/>
          <w:bCs/>
          <w:sz w:val="32"/>
          <w:szCs w:val="32"/>
        </w:rPr>
        <w:t xml:space="preserve"> </w:t>
      </w:r>
      <w:r>
        <w:rPr>
          <w:rFonts w:hint="eastAsia" w:eastAsia="仿宋_GB2312" w:cs="仿宋_GB2312"/>
          <w:b/>
          <w:sz w:val="32"/>
          <w:szCs w:val="32"/>
        </w:rPr>
        <w:t>。</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drawing>
          <wp:anchor distT="0" distB="0" distL="114300" distR="114300" simplePos="0" relativeHeight="251666432" behindDoc="0" locked="0" layoutInCell="1" allowOverlap="1">
            <wp:simplePos x="0" y="0"/>
            <wp:positionH relativeFrom="column">
              <wp:posOffset>266700</wp:posOffset>
            </wp:positionH>
            <wp:positionV relativeFrom="paragraph">
              <wp:posOffset>219075</wp:posOffset>
            </wp:positionV>
            <wp:extent cx="4533900" cy="2647950"/>
            <wp:effectExtent l="19050" t="0" r="0" b="0"/>
            <wp:wrapSquare wrapText="bothSides"/>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noChangeArrowheads="true"/>
                    </pic:cNvPicPr>
                  </pic:nvPicPr>
                  <pic:blipFill>
                    <a:blip r:embed="rId8"/>
                    <a:srcRect/>
                    <a:stretch>
                      <a:fillRect/>
                    </a:stretch>
                  </pic:blipFill>
                  <pic:spPr>
                    <a:xfrm>
                      <a:off x="0" y="0"/>
                      <a:ext cx="4533900" cy="2647950"/>
                    </a:xfrm>
                    <a:prstGeom prst="rect">
                      <a:avLst/>
                    </a:prstGeom>
                    <a:noFill/>
                    <a:ln w="9525">
                      <a:noFill/>
                      <a:miter lim="800000"/>
                      <a:headEnd/>
                      <a:tailEnd/>
                    </a:ln>
                  </pic:spPr>
                </pic:pic>
              </a:graphicData>
            </a:graphic>
          </wp:anchor>
        </w:drawing>
      </w:r>
      <w:r>
        <w:rPr>
          <w:rFonts w:hint="eastAsia" w:eastAsia="仿宋_GB2312" w:cs="仿宋_GB2312"/>
          <w:sz w:val="32"/>
          <w:szCs w:val="32"/>
        </w:rPr>
        <w:t xml:space="preserve">          </w:t>
      </w: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spacing w:line="600" w:lineRule="exact"/>
        <w:outlineLvl w:val="1"/>
        <w:rPr>
          <w:rFonts w:hint="eastAsia" w:eastAsia="仿宋_GB2312" w:cs="仿宋_GB2312"/>
          <w:sz w:val="32"/>
          <w:szCs w:val="32"/>
        </w:rPr>
      </w:pPr>
      <w:r>
        <w:rPr>
          <w:rFonts w:hint="eastAsia" w:eastAsia="仿宋_GB2312" w:cs="仿宋_GB2312"/>
          <w:sz w:val="32"/>
          <w:szCs w:val="32"/>
        </w:rPr>
        <w:t xml:space="preserve"> </w:t>
      </w:r>
    </w:p>
    <w:p>
      <w:pPr>
        <w:spacing w:line="600" w:lineRule="exact"/>
        <w:outlineLvl w:val="1"/>
        <w:rPr>
          <w:rFonts w:hint="eastAsia" w:eastAsia="仿宋_GB2312" w:cs="仿宋_GB2312"/>
          <w:sz w:val="32"/>
          <w:szCs w:val="32"/>
        </w:rPr>
      </w:pPr>
    </w:p>
    <w:p>
      <w:pPr>
        <w:spacing w:line="600" w:lineRule="exact"/>
        <w:outlineLvl w:val="1"/>
        <w:rPr>
          <w:rFonts w:hint="eastAsia" w:eastAsia="仿宋_GB2312" w:cs="仿宋_GB2312"/>
          <w:sz w:val="32"/>
          <w:szCs w:val="32"/>
        </w:rPr>
      </w:pPr>
    </w:p>
    <w:p>
      <w:pPr>
        <w:spacing w:line="600" w:lineRule="exact"/>
        <w:jc w:val="center"/>
        <w:outlineLvl w:val="1"/>
        <w:rPr>
          <w:rFonts w:eastAsia="仿宋_GB2312" w:cs="仿宋_GB2312"/>
          <w:sz w:val="32"/>
          <w:szCs w:val="32"/>
        </w:rPr>
      </w:pPr>
      <w:r>
        <w:rPr>
          <w:rFonts w:hint="eastAsia" w:eastAsia="仿宋_GB2312" w:cs="仿宋_GB2312"/>
          <w:sz w:val="32"/>
          <w:szCs w:val="32"/>
        </w:rPr>
        <w:t>（图3：支出决算结构图</w:t>
      </w:r>
      <w:bookmarkStart w:id="21" w:name="_Toc15396606"/>
      <w:bookmarkStart w:id="22" w:name="_Toc15377208"/>
      <w:r>
        <w:rPr>
          <w:rFonts w:hint="eastAsia" w:eastAsia="仿宋_GB2312" w:cs="仿宋_GB2312"/>
          <w:sz w:val="32"/>
          <w:szCs w:val="32"/>
        </w:rPr>
        <w:t>）</w:t>
      </w:r>
    </w:p>
    <w:p>
      <w:pPr>
        <w:spacing w:line="600" w:lineRule="exact"/>
        <w:ind w:firstLine="739" w:firstLineChars="231"/>
        <w:outlineLvl w:val="1"/>
        <w:rPr>
          <w:rStyle w:val="29"/>
          <w:rFonts w:ascii="Times New Roman" w:hAnsi="Times New Roman" w:eastAsia="仿宋_GB2312" w:cs="仿宋_GB2312"/>
        </w:rPr>
      </w:pPr>
      <w:r>
        <w:rPr>
          <w:rFonts w:hint="eastAsia" w:eastAsia="黑体"/>
          <w:sz w:val="32"/>
          <w:szCs w:val="32"/>
        </w:rPr>
        <w:t>四、财</w:t>
      </w:r>
      <w:r>
        <w:rPr>
          <w:rStyle w:val="29"/>
          <w:rFonts w:hint="eastAsia" w:ascii="Times New Roman" w:hAnsi="Times New Roman" w:eastAsia="黑体"/>
          <w:b w:val="0"/>
        </w:rPr>
        <w:t>政拨款收入支出决算总体情况说明</w:t>
      </w:r>
      <w:bookmarkEnd w:id="21"/>
      <w:bookmarkEnd w:id="22"/>
    </w:p>
    <w:p>
      <w:pPr>
        <w:pStyle w:val="27"/>
        <w:spacing w:line="600" w:lineRule="exact"/>
        <w:ind w:firstLine="800" w:firstLineChars="250"/>
        <w:outlineLvl w:val="1"/>
        <w:rPr>
          <w:rFonts w:eastAsia="仿宋_GB2312" w:cs="仿宋_GB2312"/>
          <w:sz w:val="32"/>
          <w:szCs w:val="32"/>
        </w:rPr>
      </w:pPr>
      <w:r>
        <w:rPr>
          <w:rFonts w:hint="eastAsia" w:eastAsia="仿宋_GB2312" w:cs="仿宋_GB2312"/>
          <w:sz w:val="32"/>
          <w:szCs w:val="32"/>
        </w:rPr>
        <w:t>2025年度财政拨款收入、支出总计均为</w:t>
      </w:r>
      <w:r>
        <w:rPr>
          <w:rFonts w:hint="eastAsia" w:ascii="仿宋_GB2312" w:hAnsi="仿宋_GB2312" w:eastAsia="仿宋_GB2312" w:cs="仿宋_GB2312"/>
          <w:sz w:val="32"/>
          <w:szCs w:val="32"/>
        </w:rPr>
        <w:t>723.07</w:t>
      </w:r>
      <w:r>
        <w:rPr>
          <w:rFonts w:hint="eastAsia" w:eastAsia="仿宋_GB2312" w:cs="仿宋_GB2312"/>
          <w:sz w:val="32"/>
          <w:szCs w:val="32"/>
        </w:rPr>
        <w:t>万元。与上年度相比，财政拨款收入、支出总计各增加29.39万元，增长4.2%。主要变动原因是根据资金安排实际情况支付了本单位项目历史欠款,同时根据政策调增了职工工资福利支出。</w:t>
      </w:r>
    </w:p>
    <w:p>
      <w:pPr>
        <w:spacing w:line="600" w:lineRule="exact"/>
        <w:ind w:firstLine="640"/>
        <w:rPr>
          <w:rFonts w:hint="eastAsia" w:eastAsia="仿宋_GB2312" w:cs="仿宋_GB2312"/>
          <w:sz w:val="32"/>
          <w:szCs w:val="32"/>
        </w:rPr>
      </w:pPr>
      <w:r>
        <w:rPr>
          <w:rFonts w:hint="eastAsia" w:eastAsia="仿宋_GB2312" w:cs="仿宋_GB2312"/>
          <w:sz w:val="32"/>
          <w:szCs w:val="32"/>
        </w:rPr>
        <w:drawing>
          <wp:anchor distT="0" distB="0" distL="114300" distR="114300" simplePos="0" relativeHeight="251662336" behindDoc="0" locked="0" layoutInCell="1" allowOverlap="1">
            <wp:simplePos x="0" y="0"/>
            <wp:positionH relativeFrom="column">
              <wp:posOffset>95250</wp:posOffset>
            </wp:positionH>
            <wp:positionV relativeFrom="paragraph">
              <wp:posOffset>523875</wp:posOffset>
            </wp:positionV>
            <wp:extent cx="5457825" cy="3486150"/>
            <wp:effectExtent l="19050" t="0" r="9525" b="0"/>
            <wp:wrapSquare wrapText="bothSides"/>
            <wp:docPr id="2"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true" noChangeArrowheads="true"/>
                    </pic:cNvPicPr>
                  </pic:nvPicPr>
                  <pic:blipFill>
                    <a:blip r:embed="rId6"/>
                    <a:srcRect/>
                    <a:stretch>
                      <a:fillRect/>
                    </a:stretch>
                  </pic:blipFill>
                  <pic:spPr>
                    <a:xfrm>
                      <a:off x="0" y="0"/>
                      <a:ext cx="5457825" cy="3486150"/>
                    </a:xfrm>
                    <a:prstGeom prst="rect">
                      <a:avLst/>
                    </a:prstGeom>
                    <a:noFill/>
                    <a:ln w="9525">
                      <a:noFill/>
                      <a:miter lim="800000"/>
                      <a:headEnd/>
                      <a:tailEnd/>
                    </a:ln>
                  </pic:spPr>
                </pic:pic>
              </a:graphicData>
            </a:graphic>
          </wp:anchor>
        </w:drawing>
      </w:r>
      <w:r>
        <w:rPr>
          <w:rFonts w:hint="eastAsia" w:eastAsia="仿宋_GB2312" w:cs="仿宋_GB2312"/>
          <w:sz w:val="32"/>
          <w:szCs w:val="32"/>
        </w:rPr>
        <w:t xml:space="preserve">       </w:t>
      </w:r>
    </w:p>
    <w:p>
      <w:pPr>
        <w:spacing w:line="600" w:lineRule="exact"/>
        <w:ind w:firstLine="1440" w:firstLineChars="450"/>
        <w:rPr>
          <w:rFonts w:eastAsia="仿宋_GB2312" w:cs="仿宋_GB2312"/>
          <w:sz w:val="32"/>
          <w:szCs w:val="32"/>
        </w:rPr>
      </w:pPr>
      <w:r>
        <w:rPr>
          <w:rFonts w:hint="eastAsia" w:eastAsia="仿宋_GB2312" w:cs="仿宋_GB2312"/>
          <w:sz w:val="32"/>
          <w:szCs w:val="32"/>
        </w:rPr>
        <w:t>（图4：财政拨款收、支决算总计变动情况）</w:t>
      </w:r>
    </w:p>
    <w:p>
      <w:pPr>
        <w:spacing w:line="600" w:lineRule="exact"/>
        <w:ind w:firstLine="640" w:firstLineChars="200"/>
        <w:outlineLvl w:val="1"/>
        <w:rPr>
          <w:rStyle w:val="29"/>
          <w:rFonts w:ascii="Times New Roman" w:hAnsi="Times New Roman" w:eastAsia="黑体"/>
          <w:b w:val="0"/>
        </w:rPr>
      </w:pPr>
      <w:bookmarkStart w:id="23" w:name="_Toc15396607"/>
      <w:bookmarkStart w:id="24"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3"/>
      <w:bookmarkEnd w:id="24"/>
    </w:p>
    <w:p>
      <w:pPr>
        <w:spacing w:line="600" w:lineRule="exact"/>
        <w:ind w:firstLine="642" w:firstLineChars="200"/>
        <w:outlineLvl w:val="2"/>
        <w:rPr>
          <w:rFonts w:eastAsia="楷体_GB2312" w:cs="楷体_GB2312"/>
          <w:b/>
          <w:sz w:val="32"/>
          <w:szCs w:val="32"/>
        </w:rPr>
      </w:pPr>
      <w:bookmarkStart w:id="25" w:name="_Toc15377210"/>
      <w:r>
        <w:rPr>
          <w:rFonts w:hint="eastAsia" w:eastAsia="楷体_GB2312" w:cs="楷体_GB2312"/>
          <w:b/>
          <w:sz w:val="32"/>
          <w:szCs w:val="32"/>
        </w:rPr>
        <w:t>（一）一般公共预算财政拨款支出决算总体情况</w:t>
      </w:r>
      <w:bookmarkEnd w:id="25"/>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2025年度一般公共预算财政拨款支出</w:t>
      </w:r>
      <w:r>
        <w:rPr>
          <w:rFonts w:hint="eastAsia" w:ascii="仿宋_GB2312" w:hAnsi="仿宋_GB2312" w:eastAsia="仿宋_GB2312" w:cs="仿宋_GB2312"/>
          <w:sz w:val="32"/>
          <w:szCs w:val="32"/>
        </w:rPr>
        <w:t>723.07</w:t>
      </w:r>
      <w:r>
        <w:rPr>
          <w:rFonts w:hint="eastAsia" w:eastAsia="仿宋_GB2312" w:cs="仿宋_GB2312"/>
          <w:sz w:val="32"/>
          <w:szCs w:val="32"/>
        </w:rPr>
        <w:t>万元，占本年支出合计的</w:t>
      </w:r>
      <w:r>
        <w:rPr>
          <w:rFonts w:hint="eastAsia" w:ascii="仿宋_GB2312" w:hAnsi="仿宋_GB2312" w:eastAsia="仿宋_GB2312" w:cs="仿宋_GB2312"/>
          <w:sz w:val="32"/>
          <w:szCs w:val="32"/>
        </w:rPr>
        <w:t>100</w:t>
      </w:r>
      <w:r>
        <w:rPr>
          <w:rFonts w:hint="eastAsia" w:eastAsia="仿宋_GB2312" w:cs="仿宋_GB2312"/>
          <w:sz w:val="32"/>
          <w:szCs w:val="32"/>
        </w:rPr>
        <w:t>%。与上年度相比，一般公共预算财政拨款支出增加75.39万元，增长11.6%。主要变动原因是根据资金安排实际情况支付了本单位项目历史欠款,同时根据政策调增了职工工资福利。</w:t>
      </w:r>
    </w:p>
    <w:p>
      <w:pPr>
        <w:spacing w:line="600" w:lineRule="exact"/>
        <w:ind w:firstLine="640" w:firstLineChars="200"/>
        <w:rPr>
          <w:rFonts w:eastAsia="仿宋_GB2312" w:cs="仿宋_GB2312"/>
          <w:sz w:val="32"/>
          <w:szCs w:val="32"/>
        </w:rPr>
      </w:pPr>
      <w:r>
        <w:rPr>
          <w:rFonts w:eastAsia="仿宋_GB2312" w:cs="仿宋_GB2312"/>
          <w:sz w:val="32"/>
          <w:szCs w:val="32"/>
        </w:rPr>
        <w:drawing>
          <wp:anchor distT="0" distB="0" distL="114300" distR="114300" simplePos="0" relativeHeight="251664384" behindDoc="0" locked="0" layoutInCell="1" allowOverlap="1">
            <wp:simplePos x="0" y="0"/>
            <wp:positionH relativeFrom="column">
              <wp:posOffset>266700</wp:posOffset>
            </wp:positionH>
            <wp:positionV relativeFrom="paragraph">
              <wp:posOffset>209550</wp:posOffset>
            </wp:positionV>
            <wp:extent cx="4924425" cy="2505075"/>
            <wp:effectExtent l="19050" t="0" r="9525" b="0"/>
            <wp:wrapSquare wrapText="bothSides"/>
            <wp:docPr id="6"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true" noChangeArrowheads="true"/>
                    </pic:cNvPicPr>
                  </pic:nvPicPr>
                  <pic:blipFill>
                    <a:blip r:embed="rId9"/>
                    <a:srcRect/>
                    <a:stretch>
                      <a:fillRect/>
                    </a:stretch>
                  </pic:blipFill>
                  <pic:spPr>
                    <a:xfrm>
                      <a:off x="0" y="0"/>
                      <a:ext cx="4924425" cy="2505075"/>
                    </a:xfrm>
                    <a:prstGeom prst="rect">
                      <a:avLst/>
                    </a:prstGeom>
                    <a:noFill/>
                    <a:ln w="9525">
                      <a:noFill/>
                      <a:miter lim="800000"/>
                      <a:headEnd/>
                      <a:tailEnd/>
                    </a:ln>
                  </pic:spPr>
                </pic:pic>
              </a:graphicData>
            </a:graphic>
          </wp:anchor>
        </w:drawing>
      </w:r>
      <w:r>
        <w:rPr>
          <w:rFonts w:hint="eastAsia" w:eastAsia="仿宋_GB2312" w:cs="仿宋_GB2312"/>
          <w:sz w:val="32"/>
          <w:szCs w:val="32"/>
        </w:rPr>
        <w:t>（图5：一般公共预算财政拨款支出决算变动情况）</w:t>
      </w:r>
    </w:p>
    <w:p>
      <w:pPr>
        <w:spacing w:line="600" w:lineRule="exact"/>
        <w:ind w:firstLine="481" w:firstLineChars="150"/>
        <w:outlineLvl w:val="2"/>
        <w:rPr>
          <w:rFonts w:eastAsia="楷体_GB2312" w:cs="楷体_GB2312"/>
          <w:b/>
          <w:sz w:val="32"/>
          <w:szCs w:val="32"/>
        </w:rPr>
      </w:pPr>
      <w:bookmarkStart w:id="26" w:name="_Toc15377211"/>
      <w:r>
        <w:rPr>
          <w:rFonts w:hint="eastAsia" w:eastAsia="楷体_GB2312" w:cs="楷体_GB2312"/>
          <w:b/>
          <w:sz w:val="32"/>
          <w:szCs w:val="32"/>
        </w:rPr>
        <w:t>（二）一般公共预算财政拨款支出决算结构情况</w:t>
      </w:r>
      <w:bookmarkEnd w:id="26"/>
    </w:p>
    <w:p>
      <w:pPr>
        <w:spacing w:line="600" w:lineRule="exact"/>
        <w:ind w:firstLine="640"/>
      </w:pPr>
      <w:r>
        <w:rPr>
          <w:rFonts w:hint="eastAsia" w:eastAsia="仿宋_GB2312" w:cs="仿宋_GB2312"/>
          <w:sz w:val="32"/>
          <w:szCs w:val="32"/>
        </w:rPr>
        <w:t>2025年度一般公共预算财政拨款支出</w:t>
      </w:r>
      <w:r>
        <w:rPr>
          <w:rFonts w:hint="eastAsia" w:ascii="仿宋_GB2312" w:hAnsi="仿宋_GB2312" w:eastAsia="仿宋_GB2312" w:cs="仿宋_GB2312"/>
          <w:sz w:val="32"/>
          <w:szCs w:val="32"/>
        </w:rPr>
        <w:t>723.07</w:t>
      </w:r>
      <w:r>
        <w:rPr>
          <w:rFonts w:hint="eastAsia" w:eastAsia="仿宋_GB2312" w:cs="仿宋_GB2312"/>
          <w:sz w:val="32"/>
          <w:szCs w:val="32"/>
        </w:rPr>
        <w:t>万元，主要用于以下方面：</w:t>
      </w:r>
      <w:r>
        <w:rPr>
          <w:rFonts w:hint="eastAsia" w:ascii="仿宋" w:hAnsi="仿宋" w:eastAsia="仿宋"/>
          <w:sz w:val="32"/>
          <w:szCs w:val="32"/>
        </w:rPr>
        <w:t>社会保障和就业支出26.76万元，占3.7%；卫生健康支出</w:t>
      </w:r>
      <w:r>
        <w:rPr>
          <w:rFonts w:ascii="仿宋" w:hAnsi="仿宋" w:eastAsia="仿宋"/>
          <w:sz w:val="32"/>
          <w:szCs w:val="32"/>
        </w:rPr>
        <w:t>16.35</w:t>
      </w:r>
      <w:r>
        <w:rPr>
          <w:rFonts w:hint="eastAsia" w:ascii="仿宋" w:hAnsi="仿宋" w:eastAsia="仿宋"/>
          <w:sz w:val="32"/>
          <w:szCs w:val="32"/>
        </w:rPr>
        <w:t>万元，占2.3%；住房保障支出</w:t>
      </w:r>
      <w:r>
        <w:rPr>
          <w:rFonts w:ascii="仿宋" w:hAnsi="仿宋" w:eastAsia="仿宋"/>
          <w:sz w:val="32"/>
          <w:szCs w:val="32"/>
        </w:rPr>
        <w:t>19.54</w:t>
      </w:r>
      <w:r>
        <w:rPr>
          <w:rFonts w:hint="eastAsia" w:ascii="仿宋" w:hAnsi="仿宋" w:eastAsia="仿宋"/>
          <w:sz w:val="32"/>
          <w:szCs w:val="32"/>
        </w:rPr>
        <w:t>万元，占2.7%；城乡社区支出</w:t>
      </w:r>
      <w:r>
        <w:rPr>
          <w:rFonts w:ascii="仿宋" w:hAnsi="仿宋" w:eastAsia="仿宋"/>
          <w:sz w:val="32"/>
          <w:szCs w:val="32"/>
        </w:rPr>
        <w:t>660.42</w:t>
      </w:r>
      <w:r>
        <w:rPr>
          <w:rFonts w:hint="eastAsia" w:ascii="仿宋" w:hAnsi="仿宋" w:eastAsia="仿宋"/>
          <w:sz w:val="32"/>
          <w:szCs w:val="32"/>
        </w:rPr>
        <w:t>万元，占91.3%</w:t>
      </w:r>
    </w:p>
    <w:p>
      <w:pPr>
        <w:spacing w:line="600" w:lineRule="exact"/>
        <w:rPr>
          <w:rFonts w:eastAsia="仿宋_GB2312" w:cs="仿宋_GB2312"/>
          <w:sz w:val="32"/>
          <w:szCs w:val="32"/>
        </w:rPr>
      </w:pPr>
      <w:r>
        <w:rPr>
          <w:rFonts w:hint="eastAsia" w:eastAsia="仿宋_GB2312" w:cs="仿宋_GB2312"/>
          <w:sz w:val="32"/>
          <w:szCs w:val="32"/>
        </w:rPr>
        <w:drawing>
          <wp:anchor distT="0" distB="0" distL="114300" distR="114300" simplePos="0" relativeHeight="251665408" behindDoc="0" locked="0" layoutInCell="1" allowOverlap="1">
            <wp:simplePos x="0" y="0"/>
            <wp:positionH relativeFrom="column">
              <wp:posOffset>142875</wp:posOffset>
            </wp:positionH>
            <wp:positionV relativeFrom="paragraph">
              <wp:posOffset>200025</wp:posOffset>
            </wp:positionV>
            <wp:extent cx="4657725" cy="2933700"/>
            <wp:effectExtent l="19050" t="0" r="9525" b="0"/>
            <wp:wrapSquare wrapText="bothSides"/>
            <wp:docPr id="9"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true" noChangeArrowheads="true"/>
                    </pic:cNvPicPr>
                  </pic:nvPicPr>
                  <pic:blipFill>
                    <a:blip r:embed="rId10"/>
                    <a:srcRect/>
                    <a:stretch>
                      <a:fillRect/>
                    </a:stretch>
                  </pic:blipFill>
                  <pic:spPr>
                    <a:xfrm>
                      <a:off x="0" y="0"/>
                      <a:ext cx="4657725" cy="2933700"/>
                    </a:xfrm>
                    <a:prstGeom prst="rect">
                      <a:avLst/>
                    </a:prstGeom>
                    <a:noFill/>
                    <a:ln w="9525">
                      <a:noFill/>
                      <a:miter lim="800000"/>
                      <a:headEnd/>
                      <a:tailEnd/>
                    </a:ln>
                  </pic:spPr>
                </pic:pic>
              </a:graphicData>
            </a:graphic>
          </wp:anchor>
        </w:drawing>
      </w: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rPr>
          <w:rFonts w:eastAsia="仿宋_GB2312" w:cs="仿宋_GB2312"/>
          <w:sz w:val="32"/>
          <w:szCs w:val="32"/>
        </w:rPr>
      </w:pPr>
    </w:p>
    <w:p>
      <w:pPr>
        <w:spacing w:line="600" w:lineRule="exact"/>
        <w:ind w:firstLine="480" w:firstLineChars="150"/>
        <w:rPr>
          <w:rFonts w:eastAsia="仿宋_GB2312" w:cs="仿宋_GB2312"/>
          <w:sz w:val="32"/>
          <w:szCs w:val="32"/>
        </w:rPr>
      </w:pPr>
      <w:r>
        <w:rPr>
          <w:rFonts w:hint="eastAsia" w:eastAsia="仿宋_GB2312" w:cs="仿宋_GB2312"/>
          <w:sz w:val="32"/>
          <w:szCs w:val="32"/>
        </w:rPr>
        <w:t xml:space="preserve">  （图6：一般公共预算财政拨款支出决算结构）</w:t>
      </w:r>
      <w:bookmarkStart w:id="27" w:name="_Toc15377212"/>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（三）一般公共预算财政拨款支出决算具体情况</w:t>
      </w:r>
      <w:bookmarkEnd w:id="27"/>
    </w:p>
    <w:p>
      <w:pPr>
        <w:spacing w:line="600" w:lineRule="exact"/>
        <w:ind w:firstLine="640"/>
        <w:rPr>
          <w:rFonts w:eastAsia="仿宋_GB2312" w:cs="仿宋_GB2312"/>
          <w:sz w:val="32"/>
          <w:szCs w:val="32"/>
        </w:rPr>
      </w:pPr>
      <w:bookmarkStart w:id="28" w:name="_Toc15377213"/>
      <w:bookmarkStart w:id="29" w:name="_Toc15378460"/>
      <w:bookmarkStart w:id="30" w:name="_Toc15377444"/>
      <w:r>
        <w:rPr>
          <w:rFonts w:hint="eastAsia" w:eastAsia="仿宋_GB2312" w:cs="仿宋_GB2312"/>
          <w:sz w:val="32"/>
          <w:szCs w:val="32"/>
        </w:rPr>
        <w:t>2025年度一般公共预算支出决算数为</w:t>
      </w:r>
      <w:r>
        <w:rPr>
          <w:rFonts w:hint="eastAsia" w:ascii="仿宋_GB2312" w:hAnsi="仿宋_GB2312" w:eastAsia="仿宋_GB2312" w:cs="仿宋_GB2312"/>
          <w:sz w:val="32"/>
          <w:szCs w:val="32"/>
        </w:rPr>
        <w:t>723.07</w:t>
      </w:r>
      <w:r>
        <w:rPr>
          <w:rFonts w:hint="eastAsia" w:eastAsia="仿宋_GB2312" w:cs="仿宋_GB2312"/>
          <w:sz w:val="32"/>
          <w:szCs w:val="32"/>
        </w:rPr>
        <w:t>，完成预算100%。其中：</w:t>
      </w:r>
      <w:bookmarkEnd w:id="28"/>
      <w:bookmarkEnd w:id="29"/>
      <w:bookmarkEnd w:id="30"/>
    </w:p>
    <w:p>
      <w:pPr>
        <w:spacing w:line="600" w:lineRule="exact"/>
        <w:ind w:firstLine="642" w:firstLineChars="200"/>
        <w:rPr>
          <w:rStyle w:val="17"/>
          <w:rFonts w:ascii="仿宋" w:hAnsi="仿宋" w:eastAsia="仿宋"/>
          <w:b w:val="0"/>
          <w:bCs/>
          <w:sz w:val="32"/>
          <w:szCs w:val="32"/>
        </w:rPr>
      </w:pPr>
      <w:r>
        <w:rPr>
          <w:rStyle w:val="17"/>
          <w:rFonts w:hint="eastAsia" w:ascii="仿宋" w:hAnsi="仿宋" w:eastAsia="仿宋"/>
          <w:bCs/>
          <w:sz w:val="32"/>
          <w:szCs w:val="32"/>
        </w:rPr>
        <w:t>1.社会保障和就业支出（类）行政事业单位养老支出（款）机关事业单位基本养老保险缴费支出（项）</w:t>
      </w:r>
      <w:r>
        <w:rPr>
          <w:rStyle w:val="17"/>
          <w:rFonts w:ascii="仿宋" w:hAnsi="仿宋" w:eastAsia="仿宋"/>
          <w:bCs/>
          <w:sz w:val="32"/>
          <w:szCs w:val="32"/>
        </w:rPr>
        <w:t>:</w:t>
      </w:r>
      <w:r>
        <w:rPr>
          <w:rStyle w:val="17"/>
          <w:rFonts w:hint="eastAsia" w:ascii="仿宋" w:hAnsi="仿宋" w:eastAsia="仿宋"/>
          <w:b w:val="0"/>
          <w:bCs/>
          <w:sz w:val="32"/>
          <w:szCs w:val="32"/>
        </w:rPr>
        <w:t>支出决算为26.76万元，完成预算100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2" w:firstLineChars="200"/>
        <w:rPr>
          <w:rStyle w:val="17"/>
          <w:rFonts w:ascii="仿宋" w:hAnsi="仿宋" w:eastAsia="仿宋"/>
          <w:b w:val="0"/>
          <w:bCs/>
          <w:sz w:val="32"/>
          <w:szCs w:val="32"/>
        </w:rPr>
      </w:pPr>
      <w:r>
        <w:rPr>
          <w:rFonts w:hint="eastAsia" w:ascii="仿宋" w:hAnsi="仿宋" w:eastAsia="仿宋"/>
          <w:b/>
          <w:bCs/>
          <w:sz w:val="32"/>
          <w:szCs w:val="32"/>
        </w:rPr>
        <w:t>2.城乡社区支出支出</w:t>
      </w:r>
      <w:r>
        <w:rPr>
          <w:rStyle w:val="17"/>
          <w:rFonts w:hint="eastAsia" w:ascii="仿宋" w:hAnsi="仿宋" w:eastAsia="仿宋"/>
          <w:bCs/>
          <w:sz w:val="32"/>
          <w:szCs w:val="32"/>
        </w:rPr>
        <w:t>（类）城乡社区管理服务（款）其他城乡社区管理事务支出（项）</w:t>
      </w:r>
      <w:r>
        <w:rPr>
          <w:rStyle w:val="17"/>
          <w:rFonts w:ascii="仿宋" w:hAnsi="仿宋" w:eastAsia="仿宋"/>
          <w:bCs/>
          <w:sz w:val="32"/>
          <w:szCs w:val="32"/>
        </w:rPr>
        <w:t>:</w:t>
      </w:r>
      <w:r>
        <w:rPr>
          <w:rStyle w:val="17"/>
          <w:rFonts w:hint="eastAsia" w:ascii="仿宋" w:hAnsi="仿宋" w:eastAsia="仿宋"/>
          <w:b w:val="0"/>
          <w:bCs/>
          <w:sz w:val="32"/>
          <w:szCs w:val="32"/>
        </w:rPr>
        <w:t>支出决算为660.42万元，完成预算100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Fonts w:hint="eastAsia" w:ascii="仿宋" w:hAnsi="仿宋" w:eastAsia="仿宋"/>
          <w:b/>
          <w:bCs/>
          <w:sz w:val="32"/>
          <w:szCs w:val="32"/>
        </w:rPr>
        <w:t>3.住房保障支出</w:t>
      </w:r>
      <w:r>
        <w:rPr>
          <w:rStyle w:val="17"/>
          <w:rFonts w:hint="eastAsia" w:ascii="仿宋" w:hAnsi="仿宋" w:eastAsia="仿宋"/>
          <w:bCs/>
          <w:sz w:val="32"/>
          <w:szCs w:val="32"/>
        </w:rPr>
        <w:t>（类）住房改革支出（款）住房公积金（项）</w:t>
      </w:r>
      <w:r>
        <w:rPr>
          <w:rStyle w:val="17"/>
          <w:rFonts w:ascii="仿宋" w:hAnsi="仿宋" w:eastAsia="仿宋"/>
          <w:bCs/>
          <w:sz w:val="32"/>
          <w:szCs w:val="32"/>
        </w:rPr>
        <w:t>:</w:t>
      </w:r>
      <w:r>
        <w:rPr>
          <w:rStyle w:val="17"/>
          <w:rFonts w:hint="eastAsia" w:ascii="仿宋" w:hAnsi="仿宋" w:eastAsia="仿宋"/>
          <w:b w:val="0"/>
          <w:bCs/>
          <w:sz w:val="32"/>
          <w:szCs w:val="32"/>
        </w:rPr>
        <w:t>支出决算为19.54万元，完成预算100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2" w:firstLineChars="200"/>
        <w:rPr>
          <w:rStyle w:val="17"/>
          <w:rFonts w:ascii="仿宋" w:hAnsi="仿宋" w:eastAsia="仿宋"/>
          <w:b w:val="0"/>
          <w:bCs/>
          <w:sz w:val="32"/>
          <w:szCs w:val="32"/>
        </w:rPr>
      </w:pPr>
      <w:r>
        <w:rPr>
          <w:rStyle w:val="17"/>
          <w:rFonts w:hint="eastAsia" w:ascii="仿宋" w:hAnsi="仿宋" w:eastAsia="仿宋"/>
          <w:bCs/>
          <w:sz w:val="32"/>
          <w:szCs w:val="32"/>
        </w:rPr>
        <w:t>4</w:t>
      </w:r>
      <w:r>
        <w:rPr>
          <w:rStyle w:val="17"/>
          <w:rFonts w:ascii="仿宋" w:hAnsi="仿宋" w:eastAsia="仿宋"/>
          <w:bCs/>
          <w:sz w:val="32"/>
          <w:szCs w:val="32"/>
        </w:rPr>
        <w:t>.</w:t>
      </w:r>
      <w:r>
        <w:rPr>
          <w:rFonts w:hint="eastAsia" w:ascii="仿宋" w:hAnsi="仿宋" w:eastAsia="仿宋"/>
          <w:b/>
          <w:bCs/>
          <w:sz w:val="32"/>
          <w:szCs w:val="32"/>
        </w:rPr>
        <w:t>卫</w:t>
      </w:r>
      <w:r>
        <w:rPr>
          <w:rStyle w:val="17"/>
          <w:rFonts w:hint="eastAsia" w:ascii="仿宋" w:hAnsi="仿宋" w:eastAsia="仿宋"/>
          <w:bCs/>
          <w:sz w:val="32"/>
          <w:szCs w:val="32"/>
        </w:rPr>
        <w:t>生健康支出（类）行政事业单位医疗（款）事业单位医疗（项）:</w:t>
      </w:r>
      <w:r>
        <w:rPr>
          <w:rStyle w:val="17"/>
          <w:rFonts w:hint="eastAsia" w:ascii="仿宋" w:hAnsi="仿宋" w:eastAsia="仿宋"/>
          <w:b w:val="0"/>
          <w:bCs/>
          <w:sz w:val="32"/>
          <w:szCs w:val="32"/>
        </w:rPr>
        <w:t>支出决算为12.94万元，完成预算100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2" w:firstLineChars="200"/>
        <w:rPr>
          <w:rStyle w:val="17"/>
          <w:rFonts w:ascii="仿宋" w:hAnsi="仿宋" w:eastAsia="仿宋"/>
          <w:b w:val="0"/>
          <w:bCs/>
          <w:sz w:val="32"/>
          <w:szCs w:val="32"/>
        </w:rPr>
      </w:pPr>
      <w:r>
        <w:rPr>
          <w:rStyle w:val="17"/>
          <w:rFonts w:hint="eastAsia" w:ascii="仿宋" w:hAnsi="仿宋" w:eastAsia="仿宋"/>
          <w:bCs/>
          <w:sz w:val="32"/>
          <w:szCs w:val="32"/>
        </w:rPr>
        <w:t>5</w:t>
      </w:r>
      <w:r>
        <w:rPr>
          <w:rStyle w:val="17"/>
          <w:rFonts w:ascii="仿宋" w:hAnsi="仿宋" w:eastAsia="仿宋"/>
          <w:bCs/>
          <w:sz w:val="32"/>
          <w:szCs w:val="32"/>
        </w:rPr>
        <w:t>.</w:t>
      </w:r>
      <w:r>
        <w:rPr>
          <w:rFonts w:hint="eastAsia" w:ascii="仿宋" w:hAnsi="仿宋" w:eastAsia="仿宋"/>
          <w:b/>
          <w:bCs/>
          <w:sz w:val="32"/>
          <w:szCs w:val="32"/>
        </w:rPr>
        <w:t>卫</w:t>
      </w:r>
      <w:r>
        <w:rPr>
          <w:rStyle w:val="17"/>
          <w:rFonts w:hint="eastAsia" w:ascii="仿宋" w:hAnsi="仿宋" w:eastAsia="仿宋"/>
          <w:bCs/>
          <w:sz w:val="32"/>
          <w:szCs w:val="32"/>
        </w:rPr>
        <w:t>生健康支出（类）行政事业单位医疗（款）</w:t>
      </w:r>
      <w:r>
        <w:rPr>
          <w:rStyle w:val="17"/>
          <w:rFonts w:ascii="仿宋" w:hAnsi="仿宋" w:eastAsia="仿宋"/>
          <w:bCs/>
          <w:sz w:val="32"/>
          <w:szCs w:val="32"/>
        </w:rPr>
        <w:t>公务员医疗补助</w:t>
      </w:r>
      <w:r>
        <w:rPr>
          <w:rStyle w:val="17"/>
          <w:rFonts w:hint="eastAsia" w:ascii="仿宋" w:hAnsi="仿宋" w:eastAsia="仿宋"/>
          <w:bCs/>
          <w:sz w:val="32"/>
          <w:szCs w:val="32"/>
        </w:rPr>
        <w:t>（项）:</w:t>
      </w:r>
      <w:r>
        <w:rPr>
          <w:rStyle w:val="17"/>
          <w:rFonts w:hint="eastAsia" w:ascii="仿宋" w:hAnsi="仿宋" w:eastAsia="仿宋"/>
          <w:b w:val="0"/>
          <w:bCs/>
          <w:sz w:val="32"/>
          <w:szCs w:val="32"/>
        </w:rPr>
        <w:t>支出决算为1.71万元，完成预算100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2" w:firstLineChars="200"/>
        <w:rPr>
          <w:rFonts w:eastAsia="仿宋_GB2312" w:cs="仿宋_GB2312"/>
          <w:b/>
          <w:bCs/>
          <w:sz w:val="32"/>
          <w:szCs w:val="32"/>
        </w:rPr>
      </w:pPr>
      <w:r>
        <w:rPr>
          <w:rStyle w:val="17"/>
          <w:rFonts w:hint="eastAsia" w:ascii="仿宋" w:hAnsi="仿宋" w:eastAsia="仿宋"/>
          <w:bCs/>
          <w:sz w:val="32"/>
          <w:szCs w:val="32"/>
        </w:rPr>
        <w:t>6</w:t>
      </w:r>
      <w:r>
        <w:rPr>
          <w:rStyle w:val="17"/>
          <w:rFonts w:ascii="仿宋" w:hAnsi="仿宋" w:eastAsia="仿宋"/>
          <w:bCs/>
          <w:sz w:val="32"/>
          <w:szCs w:val="32"/>
        </w:rPr>
        <w:t>.</w:t>
      </w:r>
      <w:r>
        <w:rPr>
          <w:rStyle w:val="17"/>
          <w:rFonts w:hint="eastAsia" w:ascii="仿宋" w:hAnsi="仿宋" w:eastAsia="仿宋"/>
          <w:bCs/>
          <w:sz w:val="32"/>
          <w:szCs w:val="32"/>
        </w:rPr>
        <w:t>卫生健康支出（类）行政事业单位医疗（款）其他行政事业单位医疗支出（项）:</w:t>
      </w:r>
      <w:r>
        <w:rPr>
          <w:rStyle w:val="17"/>
          <w:rFonts w:hint="eastAsia" w:ascii="仿宋" w:hAnsi="仿宋" w:eastAsia="仿宋"/>
          <w:b w:val="0"/>
          <w:bCs/>
          <w:sz w:val="32"/>
          <w:szCs w:val="32"/>
        </w:rPr>
        <w:t>支出决算为</w:t>
      </w:r>
      <w:r>
        <w:rPr>
          <w:rFonts w:hint="eastAsia" w:ascii="仿宋" w:hAnsi="仿宋" w:eastAsia="仿宋"/>
          <w:sz w:val="32"/>
          <w:szCs w:val="32"/>
        </w:rPr>
        <w:t>1.70</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tabs>
          <w:tab w:val="right" w:pos="8306"/>
        </w:tabs>
        <w:spacing w:line="600" w:lineRule="exact"/>
        <w:ind w:firstLine="640"/>
        <w:outlineLvl w:val="1"/>
        <w:rPr>
          <w:rStyle w:val="29"/>
          <w:rFonts w:ascii="Times New Roman" w:hAnsi="Times New Roman"/>
        </w:rPr>
      </w:pPr>
      <w:bookmarkStart w:id="31" w:name="_Toc15377214"/>
      <w:bookmarkStart w:id="32"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1"/>
      <w:bookmarkEnd w:id="32"/>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ascii="仿宋_GB2312" w:hAnsi="仿宋_GB2312" w:eastAsia="仿宋_GB2312" w:cs="仿宋_GB2312"/>
          <w:sz w:val="32"/>
          <w:szCs w:val="32"/>
        </w:rPr>
        <w:t>262.74</w:t>
      </w:r>
      <w:r>
        <w:rPr>
          <w:rFonts w:hint="eastAsia" w:eastAsia="仿宋_GB2312" w:cs="仿宋_GB2312"/>
          <w:sz w:val="32"/>
          <w:szCs w:val="32"/>
        </w:rPr>
        <w:t>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246.24</w:t>
      </w:r>
      <w:r>
        <w:rPr>
          <w:rFonts w:hint="eastAsia" w:eastAsia="仿宋_GB2312" w:cs="仿宋_GB2312"/>
          <w:sz w:val="32"/>
          <w:szCs w:val="32"/>
        </w:rPr>
        <w:t>万元，主要包括：</w:t>
      </w:r>
      <w:r>
        <w:rPr>
          <w:rFonts w:hint="eastAsia" w:ascii="仿宋" w:hAnsi="仿宋" w:eastAsia="仿宋"/>
          <w:sz w:val="32"/>
          <w:szCs w:val="32"/>
        </w:rPr>
        <w:t>基本工资、津贴补贴、绩效工资、机关事业单位基本养老保险缴费、其他社会保障缴费、奖励金、职工基本医疗保险费、公务员医疗补助缴费、住房公积金等。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16.5</w:t>
      </w:r>
      <w:r>
        <w:rPr>
          <w:rFonts w:hint="eastAsia" w:eastAsia="仿宋_GB2312" w:cs="仿宋_GB2312"/>
          <w:sz w:val="32"/>
          <w:szCs w:val="32"/>
        </w:rPr>
        <w:t>万元，主要包括：办公费、水费、邮电费、物业管理费、差旅费、培训费、委托业务费、工会经费、福利费、公务用车运行维护费、办公设备购置、其他商品和服务支出等。</w:t>
      </w:r>
    </w:p>
    <w:p>
      <w:pPr>
        <w:spacing w:line="600" w:lineRule="exact"/>
        <w:ind w:firstLine="640"/>
        <w:outlineLvl w:val="1"/>
        <w:rPr>
          <w:rStyle w:val="29"/>
          <w:rFonts w:ascii="Times New Roman" w:hAnsi="Times New Roman" w:eastAsia="黑体"/>
          <w:b w:val="0"/>
        </w:rPr>
      </w:pPr>
      <w:bookmarkStart w:id="33" w:name="_Toc15377215"/>
      <w:bookmarkStart w:id="34"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3"/>
      <w:bookmarkEnd w:id="34"/>
    </w:p>
    <w:p>
      <w:pPr>
        <w:spacing w:line="600" w:lineRule="exact"/>
        <w:ind w:firstLine="642" w:firstLineChars="200"/>
        <w:outlineLvl w:val="2"/>
        <w:rPr>
          <w:rFonts w:eastAsia="楷体_GB2312" w:cs="楷体_GB2312"/>
          <w:b/>
          <w:sz w:val="32"/>
          <w:szCs w:val="32"/>
        </w:rPr>
      </w:pPr>
      <w:bookmarkStart w:id="35" w:name="_Toc15377216"/>
      <w:r>
        <w:rPr>
          <w:rFonts w:hint="eastAsia" w:eastAsia="楷体_GB2312" w:cs="楷体_GB2312"/>
          <w:b/>
          <w:sz w:val="32"/>
          <w:szCs w:val="32"/>
        </w:rPr>
        <w:t>（一）财政拨款“三公”经费支出决算总体情况说明</w:t>
      </w:r>
      <w:bookmarkEnd w:id="35"/>
    </w:p>
    <w:p>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ascii="仿宋_GB2312" w:hAnsi="仿宋_GB2312" w:eastAsia="仿宋_GB2312" w:cs="仿宋_GB2312"/>
          <w:sz w:val="32"/>
          <w:szCs w:val="32"/>
        </w:rPr>
        <w:t>1.27</w:t>
      </w:r>
      <w:r>
        <w:rPr>
          <w:rFonts w:hint="eastAsia" w:eastAsia="仿宋_GB2312" w:cs="仿宋_GB2312"/>
          <w:sz w:val="32"/>
          <w:szCs w:val="32"/>
        </w:rPr>
        <w:t>万元，完成预算</w:t>
      </w:r>
      <w:r>
        <w:rPr>
          <w:rFonts w:hint="eastAsia" w:ascii="仿宋_GB2312" w:hAnsi="仿宋_GB2312" w:eastAsia="仿宋_GB2312" w:cs="仿宋_GB2312"/>
          <w:sz w:val="32"/>
          <w:szCs w:val="32"/>
        </w:rPr>
        <w:t>100</w:t>
      </w:r>
      <w:r>
        <w:rPr>
          <w:rFonts w:hint="eastAsia" w:eastAsia="仿宋_GB2312" w:cs="仿宋_GB2312"/>
          <w:sz w:val="32"/>
          <w:szCs w:val="32"/>
        </w:rPr>
        <w:t>%，较上年度增加0.14万元，增长12.4%。</w:t>
      </w:r>
    </w:p>
    <w:p>
      <w:pPr>
        <w:spacing w:line="600" w:lineRule="exact"/>
        <w:ind w:firstLine="642" w:firstLineChars="200"/>
        <w:outlineLvl w:val="2"/>
        <w:rPr>
          <w:rFonts w:eastAsia="楷体_GB2312" w:cs="楷体_GB2312"/>
          <w:b/>
          <w:sz w:val="32"/>
          <w:szCs w:val="32"/>
        </w:rPr>
      </w:pPr>
      <w:bookmarkStart w:id="36" w:name="_Toc15377217"/>
      <w:r>
        <w:rPr>
          <w:rFonts w:hint="eastAsia" w:eastAsia="楷体_GB2312" w:cs="楷体_GB2312"/>
          <w:b/>
          <w:sz w:val="32"/>
          <w:szCs w:val="32"/>
        </w:rPr>
        <w:t>（二）财政拨款“三公”经费支出决算具体情况说明</w:t>
      </w:r>
      <w:bookmarkEnd w:id="36"/>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ascii="仿宋_GB2312" w:hAnsi="仿宋_GB2312" w:eastAsia="仿宋_GB2312" w:cs="仿宋_GB2312"/>
          <w:sz w:val="32"/>
          <w:szCs w:val="32"/>
        </w:rPr>
        <w:t>0</w:t>
      </w:r>
      <w:r>
        <w:rPr>
          <w:rFonts w:hint="eastAsia" w:eastAsia="仿宋_GB2312" w:cs="仿宋_GB2312"/>
          <w:sz w:val="32"/>
          <w:szCs w:val="32"/>
        </w:rPr>
        <w:t>万元，占0%；公务用车购置及运行维护费支出决算</w:t>
      </w:r>
      <w:r>
        <w:rPr>
          <w:rFonts w:hint="eastAsia" w:ascii="仿宋_GB2312" w:hAnsi="仿宋_GB2312" w:eastAsia="仿宋_GB2312" w:cs="仿宋_GB2312"/>
          <w:sz w:val="32"/>
          <w:szCs w:val="32"/>
        </w:rPr>
        <w:t>1.13</w:t>
      </w:r>
      <w:r>
        <w:rPr>
          <w:rFonts w:hint="eastAsia" w:eastAsia="仿宋_GB2312" w:cs="仿宋_GB2312"/>
          <w:sz w:val="32"/>
          <w:szCs w:val="32"/>
        </w:rPr>
        <w:t>万元，占89%；公务接待费支出决算</w:t>
      </w:r>
      <w:r>
        <w:rPr>
          <w:rFonts w:hint="eastAsia" w:ascii="仿宋_GB2312" w:hAnsi="仿宋_GB2312" w:eastAsia="仿宋_GB2312" w:cs="仿宋_GB2312"/>
          <w:sz w:val="32"/>
          <w:szCs w:val="32"/>
        </w:rPr>
        <w:t>0.14</w:t>
      </w:r>
      <w:r>
        <w:rPr>
          <w:rFonts w:hint="eastAsia" w:eastAsia="仿宋_GB2312" w:cs="仿宋_GB2312"/>
          <w:sz w:val="32"/>
          <w:szCs w:val="32"/>
        </w:rPr>
        <w:t>万元，占11%。具体情况如下：</w:t>
      </w:r>
    </w:p>
    <w:p>
      <w:pPr>
        <w:pStyle w:val="2"/>
      </w:pPr>
    </w:p>
    <w:p>
      <w:pPr>
        <w:pStyle w:val="3"/>
        <w:ind w:left="420"/>
      </w:pPr>
      <w:r>
        <w:rPr>
          <w:rFonts w:hint="eastAsia"/>
        </w:rPr>
        <w:drawing>
          <wp:inline distT="0" distB="0" distL="0" distR="0">
            <wp:extent cx="4200525" cy="2505075"/>
            <wp:effectExtent l="19050" t="0" r="9525" b="0"/>
            <wp:docPr id="16"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true" noChangeArrowheads="true"/>
                    </pic:cNvPicPr>
                  </pic:nvPicPr>
                  <pic:blipFill>
                    <a:blip r:embed="rId11"/>
                    <a:srcRect/>
                    <a:stretch>
                      <a:fillRect/>
                    </a:stretch>
                  </pic:blipFill>
                  <pic:spPr>
                    <a:xfrm>
                      <a:off x="0" y="0"/>
                      <a:ext cx="4200525" cy="2505075"/>
                    </a:xfrm>
                    <a:prstGeom prst="rect">
                      <a:avLst/>
                    </a:prstGeom>
                    <a:noFill/>
                    <a:ln w="9525">
                      <a:noFill/>
                      <a:miter lim="800000"/>
                      <a:headEnd/>
                      <a:tailEnd/>
                    </a:ln>
                  </pic:spPr>
                </pic:pic>
              </a:graphicData>
            </a:graphic>
          </wp:inline>
        </w:drawing>
      </w:r>
    </w:p>
    <w:p>
      <w:pPr>
        <w:spacing w:line="600" w:lineRule="exact"/>
        <w:ind w:firstLine="1120" w:firstLineChars="350"/>
        <w:rPr>
          <w:rFonts w:eastAsia="仿宋_GB2312" w:cs="仿宋_GB2312"/>
          <w:sz w:val="32"/>
          <w:szCs w:val="32"/>
        </w:rPr>
      </w:pPr>
      <w:r>
        <w:rPr>
          <w:rFonts w:hint="eastAsia" w:eastAsia="仿宋_GB2312" w:cs="仿宋_GB2312"/>
          <w:sz w:val="32"/>
          <w:szCs w:val="32"/>
        </w:rPr>
        <w:t>（图7：财政拨款“三公”经费支出结构）</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ascii="仿宋_GB2312" w:hAnsi="仿宋_GB2312" w:eastAsia="仿宋_GB2312" w:cs="仿宋_GB2312"/>
          <w:sz w:val="32"/>
          <w:szCs w:val="32"/>
        </w:rPr>
        <w:t>0</w:t>
      </w:r>
      <w:r>
        <w:rPr>
          <w:rFonts w:hint="eastAsia" w:eastAsia="仿宋_GB2312" w:cs="仿宋_GB2312"/>
          <w:b/>
          <w:bCs/>
          <w:sz w:val="32"/>
          <w:szCs w:val="32"/>
        </w:rPr>
        <w:t>万元，完成预算0%。</w:t>
      </w:r>
      <w:r>
        <w:rPr>
          <w:rFonts w:hint="eastAsia" w:eastAsia="仿宋_GB2312" w:cs="仿宋_GB2312"/>
          <w:sz w:val="32"/>
          <w:szCs w:val="32"/>
        </w:rPr>
        <w:t>全年0排因公出国（境）团组</w:t>
      </w:r>
      <w:r>
        <w:rPr>
          <w:rFonts w:hint="eastAsia" w:ascii="仿宋_GB2312" w:hAnsi="仿宋_GB2312" w:eastAsia="仿宋_GB2312" w:cs="仿宋_GB2312"/>
          <w:sz w:val="32"/>
          <w:szCs w:val="32"/>
        </w:rPr>
        <w:t>0</w:t>
      </w:r>
      <w:r>
        <w:rPr>
          <w:rFonts w:hint="eastAsia" w:eastAsia="仿宋_GB2312" w:cs="仿宋_GB2312"/>
          <w:sz w:val="32"/>
          <w:szCs w:val="32"/>
        </w:rPr>
        <w:t>次，出国（境）</w:t>
      </w:r>
      <w:r>
        <w:rPr>
          <w:rFonts w:hint="eastAsia" w:ascii="仿宋_GB2312" w:hAnsi="仿宋_GB2312" w:eastAsia="仿宋_GB2312" w:cs="仿宋_GB2312"/>
          <w:sz w:val="32"/>
          <w:szCs w:val="32"/>
        </w:rPr>
        <w:t>0</w:t>
      </w:r>
      <w:r>
        <w:rPr>
          <w:rFonts w:hint="eastAsia" w:eastAsia="仿宋_GB2312" w:cs="仿宋_GB2312"/>
          <w:sz w:val="32"/>
          <w:szCs w:val="32"/>
        </w:rPr>
        <w:t>人。因公出国（境）支出决算比上年度增加0万元，增长0%。</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1.13</w:t>
      </w:r>
      <w:r>
        <w:rPr>
          <w:rFonts w:hint="eastAsia" w:eastAsia="仿宋_GB2312" w:cs="仿宋_GB2312"/>
          <w:b/>
          <w:bCs/>
          <w:sz w:val="32"/>
          <w:szCs w:val="32"/>
        </w:rPr>
        <w:t>万元，完成预算100%。</w:t>
      </w:r>
      <w:r>
        <w:rPr>
          <w:rFonts w:hint="eastAsia" w:eastAsia="仿宋_GB2312" w:cs="仿宋_GB2312"/>
          <w:sz w:val="32"/>
          <w:szCs w:val="32"/>
        </w:rPr>
        <w:t>公务用车购置及运行维护费支出决算与上一年抚持平。</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ascii="仿宋_GB2312" w:hAnsi="仿宋_GB2312" w:eastAsia="仿宋_GB2312" w:cs="仿宋_GB2312"/>
          <w:sz w:val="32"/>
          <w:szCs w:val="32"/>
        </w:rPr>
        <w:t>0</w:t>
      </w:r>
      <w:r>
        <w:rPr>
          <w:rFonts w:hint="eastAsia" w:eastAsia="仿宋_GB2312" w:cs="仿宋_GB2312"/>
          <w:sz w:val="32"/>
          <w:szCs w:val="32"/>
        </w:rPr>
        <w:t>万元。全年按规定更新购置公务用车0辆，其中：轿车0辆、金额0万元，越野车0辆、金额0万元，载客汽车0辆、金额0万元。截至2025年12月31日，单位共有公务用车1辆，其中：轿车1辆、越野车0辆、载客汽车0辆。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ascii="仿宋_GB2312" w:hAnsi="仿宋_GB2312" w:eastAsia="仿宋_GB2312" w:cs="仿宋_GB2312"/>
          <w:sz w:val="32"/>
          <w:szCs w:val="32"/>
        </w:rPr>
        <w:t>1.13</w:t>
      </w:r>
      <w:r>
        <w:rPr>
          <w:rFonts w:hint="eastAsia" w:eastAsia="仿宋_GB2312" w:cs="仿宋_GB2312"/>
          <w:sz w:val="32"/>
          <w:szCs w:val="32"/>
        </w:rPr>
        <w:t>万元。主要用于</w:t>
      </w:r>
      <w:r>
        <w:rPr>
          <w:rFonts w:hint="eastAsia" w:ascii="仿宋_GB2312" w:eastAsia="仿宋_GB2312"/>
          <w:sz w:val="32"/>
          <w:szCs w:val="32"/>
        </w:rPr>
        <w:t>数字城管、12345热线工作检查及日常办公等</w:t>
      </w:r>
      <w:r>
        <w:rPr>
          <w:rFonts w:hint="eastAsia" w:eastAsia="仿宋_GB2312" w:cs="仿宋_GB2312"/>
          <w:sz w:val="32"/>
          <w:szCs w:val="32"/>
        </w:rPr>
        <w:t>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0.14</w:t>
      </w:r>
      <w:r>
        <w:rPr>
          <w:rFonts w:hint="eastAsia" w:eastAsia="仿宋_GB2312" w:cs="仿宋_GB2312"/>
          <w:b/>
          <w:bCs/>
          <w:sz w:val="32"/>
          <w:szCs w:val="32"/>
        </w:rPr>
        <w:t>万元，完成预算100%。</w:t>
      </w:r>
      <w:r>
        <w:rPr>
          <w:rFonts w:hint="eastAsia" w:eastAsia="仿宋_GB2312" w:cs="仿宋_GB2312"/>
          <w:sz w:val="32"/>
          <w:szCs w:val="32"/>
        </w:rPr>
        <w:t>公务接待费支出决算比上年度增加0.14万元，增长100%。主要原因是根据实际情况开展了公务接待工作。其中：</w:t>
      </w:r>
    </w:p>
    <w:p>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ascii="仿宋_GB2312" w:hAnsi="仿宋_GB2312" w:eastAsia="仿宋_GB2312" w:cs="仿宋_GB2312"/>
          <w:sz w:val="32"/>
          <w:szCs w:val="32"/>
        </w:rPr>
        <w:t>0.14</w:t>
      </w:r>
      <w:r>
        <w:rPr>
          <w:rFonts w:hint="eastAsia" w:eastAsia="仿宋_GB2312" w:cs="仿宋_GB2312"/>
          <w:sz w:val="32"/>
          <w:szCs w:val="32"/>
        </w:rPr>
        <w:t>万元，主要用于执行公务用餐费。国内公务接待</w:t>
      </w:r>
      <w:r>
        <w:rPr>
          <w:rFonts w:hint="eastAsia" w:ascii="仿宋_GB2312" w:hAnsi="仿宋_GB2312" w:eastAsia="仿宋_GB2312" w:cs="仿宋_GB2312"/>
          <w:sz w:val="32"/>
          <w:szCs w:val="32"/>
        </w:rPr>
        <w:t>1</w:t>
      </w:r>
      <w:r>
        <w:rPr>
          <w:rFonts w:hint="eastAsia" w:eastAsia="仿宋_GB2312" w:cs="仿宋_GB2312"/>
          <w:sz w:val="32"/>
          <w:szCs w:val="32"/>
        </w:rPr>
        <w:t>批次，</w:t>
      </w:r>
      <w:r>
        <w:rPr>
          <w:rFonts w:hint="eastAsia" w:ascii="仿宋_GB2312" w:hAnsi="仿宋_GB2312" w:eastAsia="仿宋_GB2312" w:cs="仿宋_GB2312"/>
          <w:sz w:val="32"/>
          <w:szCs w:val="32"/>
        </w:rPr>
        <w:t>6</w:t>
      </w:r>
      <w:r>
        <w:rPr>
          <w:rFonts w:hint="eastAsia" w:eastAsia="仿宋_GB2312" w:cs="仿宋_GB2312"/>
          <w:sz w:val="32"/>
          <w:szCs w:val="32"/>
        </w:rPr>
        <w:t>人次（不包括陪同人员），共计支出0.14万元，具体内容包括：接待乐山市心连心服务中心对我单位工作学习考察公务餐费。</w:t>
      </w:r>
    </w:p>
    <w:p>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ascii="仿宋_GB2312" w:hAnsi="仿宋_GB2312" w:eastAsia="仿宋_GB2312" w:cs="仿宋_GB2312"/>
          <w:sz w:val="32"/>
          <w:szCs w:val="32"/>
        </w:rPr>
        <w:t>0</w:t>
      </w:r>
      <w:r>
        <w:rPr>
          <w:rFonts w:hint="eastAsia" w:eastAsia="仿宋_GB2312" w:cs="仿宋_GB2312"/>
          <w:sz w:val="32"/>
          <w:szCs w:val="32"/>
        </w:rPr>
        <w:t>万元。外事接待</w:t>
      </w:r>
      <w:r>
        <w:rPr>
          <w:rFonts w:hint="eastAsia" w:ascii="仿宋_GB2312" w:hAnsi="仿宋_GB2312" w:eastAsia="仿宋_GB2312" w:cs="仿宋_GB2312"/>
          <w:sz w:val="32"/>
          <w:szCs w:val="32"/>
        </w:rPr>
        <w:t>0</w:t>
      </w:r>
      <w:r>
        <w:rPr>
          <w:rFonts w:hint="eastAsia" w:eastAsia="仿宋_GB2312" w:cs="仿宋_GB2312"/>
          <w:sz w:val="32"/>
          <w:szCs w:val="32"/>
        </w:rPr>
        <w:t>批次，</w:t>
      </w:r>
      <w:r>
        <w:rPr>
          <w:rFonts w:hint="eastAsia" w:ascii="仿宋_GB2312" w:hAnsi="仿宋_GB2312" w:eastAsia="仿宋_GB2312" w:cs="仿宋_GB2312"/>
          <w:sz w:val="32"/>
          <w:szCs w:val="32"/>
        </w:rPr>
        <w:t>0</w:t>
      </w:r>
      <w:r>
        <w:rPr>
          <w:rFonts w:hint="eastAsia" w:eastAsia="仿宋_GB2312" w:cs="仿宋_GB2312"/>
          <w:sz w:val="32"/>
          <w:szCs w:val="32"/>
        </w:rPr>
        <w:t>人次（不包括陪同人员），共计支出0万元。</w:t>
      </w:r>
      <w:bookmarkStart w:id="37" w:name="_Toc15377218"/>
      <w:bookmarkStart w:id="38" w:name="_Toc15396610"/>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7"/>
      <w:bookmarkEnd w:id="38"/>
    </w:p>
    <w:p>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w:t>
      </w:r>
      <w:r>
        <w:rPr>
          <w:rFonts w:hint="eastAsia" w:ascii="仿宋_GB2312" w:hAnsi="仿宋_GB2312" w:eastAsia="仿宋_GB2312" w:cs="仿宋_GB2312"/>
          <w:sz w:val="32"/>
          <w:szCs w:val="32"/>
        </w:rPr>
        <w:t>0</w:t>
      </w:r>
      <w:r>
        <w:rPr>
          <w:rFonts w:hint="eastAsia" w:eastAsia="仿宋_GB2312" w:cs="仿宋_GB2312"/>
          <w:sz w:val="32"/>
          <w:szCs w:val="32"/>
        </w:rPr>
        <w:t>万元，占本年支出合计的</w:t>
      </w:r>
      <w:r>
        <w:rPr>
          <w:rFonts w:hint="eastAsia" w:ascii="仿宋_GB2312" w:hAnsi="仿宋_GB2312" w:eastAsia="仿宋_GB2312" w:cs="仿宋_GB2312"/>
          <w:sz w:val="32"/>
          <w:szCs w:val="32"/>
        </w:rPr>
        <w:t>0</w:t>
      </w:r>
      <w:r>
        <w:rPr>
          <w:rFonts w:hint="eastAsia" w:eastAsia="仿宋_GB2312" w:cs="仿宋_GB2312"/>
          <w:sz w:val="32"/>
          <w:szCs w:val="32"/>
        </w:rPr>
        <w:t>%。与上年度相比，政府性基金预算财政拨款支出减少46万元，下降100%。主要变动原因是根据实际情况，本年度未安排政府性预算资金。</w:t>
      </w:r>
    </w:p>
    <w:p>
      <w:pPr>
        <w:spacing w:line="600" w:lineRule="exact"/>
        <w:ind w:left="630"/>
        <w:outlineLvl w:val="1"/>
        <w:rPr>
          <w:rStyle w:val="29"/>
          <w:rFonts w:ascii="Times New Roman" w:hAnsi="Times New Roman" w:eastAsia="黑体"/>
          <w:b w:val="0"/>
        </w:rPr>
      </w:pPr>
      <w:bookmarkStart w:id="39" w:name="_Toc15396611"/>
      <w:bookmarkStart w:id="40" w:name="_Toc15377219"/>
      <w:r>
        <w:rPr>
          <w:rStyle w:val="29"/>
          <w:rFonts w:hint="eastAsia" w:ascii="Times New Roman" w:hAnsi="Times New Roman" w:eastAsia="黑体"/>
          <w:b w:val="0"/>
        </w:rPr>
        <w:t>九、国有资本经营预算支出决算情况说明</w:t>
      </w:r>
      <w:bookmarkEnd w:id="39"/>
      <w:bookmarkEnd w:id="40"/>
    </w:p>
    <w:p>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ascii="仿宋_GB2312" w:hAnsi="仿宋_GB2312" w:eastAsia="仿宋_GB2312" w:cs="仿宋_GB2312"/>
          <w:sz w:val="32"/>
          <w:szCs w:val="32"/>
        </w:rPr>
        <w:t>0</w:t>
      </w:r>
      <w:r>
        <w:rPr>
          <w:rFonts w:hint="eastAsia" w:eastAsia="仿宋_GB2312" w:cs="仿宋_GB2312"/>
          <w:sz w:val="32"/>
          <w:szCs w:val="32"/>
        </w:rPr>
        <w:t>万元，占本年支出合计的</w:t>
      </w:r>
      <w:r>
        <w:rPr>
          <w:rFonts w:hint="eastAsia" w:ascii="仿宋_GB2312" w:hAnsi="仿宋_GB2312" w:eastAsia="仿宋_GB2312" w:cs="仿宋_GB2312"/>
          <w:sz w:val="32"/>
          <w:szCs w:val="32"/>
        </w:rPr>
        <w:t>0</w:t>
      </w:r>
      <w:r>
        <w:rPr>
          <w:rFonts w:hint="eastAsia" w:eastAsia="仿宋_GB2312" w:cs="仿宋_GB2312"/>
          <w:sz w:val="32"/>
          <w:szCs w:val="32"/>
        </w:rPr>
        <w:t>%。与上年度相比，国有资本经营预算财政拨款支出增加0万元，增长0%。</w:t>
      </w:r>
    </w:p>
    <w:p>
      <w:pPr>
        <w:spacing w:line="600" w:lineRule="exact"/>
        <w:ind w:left="630"/>
        <w:outlineLvl w:val="1"/>
        <w:rPr>
          <w:rStyle w:val="29"/>
          <w:rFonts w:ascii="Times New Roman" w:hAnsi="Times New Roman" w:eastAsia="黑体"/>
          <w:b w:val="0"/>
        </w:rPr>
      </w:pPr>
      <w:bookmarkStart w:id="41" w:name="_Toc15377221"/>
      <w:bookmarkStart w:id="42" w:name="_Toc15396612"/>
      <w:r>
        <w:rPr>
          <w:rStyle w:val="29"/>
          <w:rFonts w:hint="eastAsia" w:ascii="Times New Roman" w:hAnsi="Times New Roman" w:eastAsia="黑体"/>
          <w:b w:val="0"/>
        </w:rPr>
        <w:t>十、其他重要事项的情况说明</w:t>
      </w:r>
      <w:bookmarkEnd w:id="41"/>
      <w:bookmarkEnd w:id="42"/>
    </w:p>
    <w:p>
      <w:pPr>
        <w:spacing w:line="600" w:lineRule="exact"/>
        <w:ind w:firstLine="642" w:firstLineChars="200"/>
        <w:outlineLvl w:val="2"/>
        <w:rPr>
          <w:rFonts w:eastAsia="楷体_GB2312" w:cs="楷体_GB2312"/>
          <w:b/>
          <w:sz w:val="32"/>
          <w:szCs w:val="32"/>
        </w:rPr>
      </w:pPr>
      <w:bookmarkStart w:id="43" w:name="_Toc15377222"/>
      <w:r>
        <w:rPr>
          <w:rFonts w:hint="eastAsia" w:eastAsia="楷体_GB2312" w:cs="楷体_GB2312"/>
          <w:b/>
          <w:sz w:val="32"/>
          <w:szCs w:val="32"/>
        </w:rPr>
        <w:t>（一）机关运行经费支出情况</w:t>
      </w:r>
      <w:bookmarkEnd w:id="43"/>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攀枝花市12345群众服务中心</w:t>
      </w:r>
      <w:r>
        <w:rPr>
          <w:rFonts w:hint="eastAsia" w:eastAsia="仿宋_GB2312" w:cs="仿宋_GB2312"/>
          <w:sz w:val="32"/>
          <w:szCs w:val="32"/>
        </w:rPr>
        <w:t>机关运行经费支出</w:t>
      </w:r>
      <w:r>
        <w:rPr>
          <w:rFonts w:hint="eastAsia" w:ascii="仿宋_GB2312" w:hAnsi="仿宋_GB2312" w:eastAsia="仿宋_GB2312" w:cs="仿宋_GB2312"/>
          <w:sz w:val="32"/>
          <w:szCs w:val="32"/>
        </w:rPr>
        <w:t>0</w:t>
      </w:r>
      <w:r>
        <w:rPr>
          <w:rFonts w:hint="eastAsia" w:eastAsia="仿宋_GB2312" w:cs="仿宋_GB2312"/>
          <w:sz w:val="32"/>
          <w:szCs w:val="32"/>
        </w:rPr>
        <w:t>万元，比上年度增加0万元，增长0%。</w:t>
      </w:r>
    </w:p>
    <w:p>
      <w:pPr>
        <w:spacing w:line="600" w:lineRule="exact"/>
        <w:ind w:firstLine="642" w:firstLineChars="200"/>
        <w:outlineLvl w:val="2"/>
        <w:rPr>
          <w:rFonts w:eastAsia="楷体_GB2312" w:cs="楷体_GB2312"/>
          <w:b/>
          <w:sz w:val="32"/>
          <w:szCs w:val="32"/>
        </w:rPr>
      </w:pPr>
      <w:bookmarkStart w:id="44" w:name="_Toc15377223"/>
      <w:r>
        <w:rPr>
          <w:rFonts w:hint="eastAsia" w:eastAsia="楷体_GB2312" w:cs="楷体_GB2312"/>
          <w:b/>
          <w:sz w:val="32"/>
          <w:szCs w:val="32"/>
        </w:rPr>
        <w:t>（二）政府采购支出情况</w:t>
      </w:r>
      <w:bookmarkEnd w:id="44"/>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攀枝花市12345群众服务中心</w:t>
      </w:r>
      <w:r>
        <w:rPr>
          <w:rFonts w:hint="eastAsia" w:eastAsia="仿宋_GB2312" w:cs="仿宋_GB2312"/>
          <w:sz w:val="32"/>
          <w:szCs w:val="32"/>
        </w:rPr>
        <w:t>政府采购支出总额</w:t>
      </w:r>
      <w:r>
        <w:rPr>
          <w:rFonts w:hint="eastAsia" w:ascii="仿宋_GB2312" w:hAnsi="仿宋_GB2312" w:eastAsia="仿宋_GB2312" w:cs="仿宋_GB2312"/>
          <w:sz w:val="32"/>
          <w:szCs w:val="32"/>
        </w:rPr>
        <w:t>7.85</w:t>
      </w:r>
      <w:r>
        <w:rPr>
          <w:rFonts w:hint="eastAsia" w:eastAsia="仿宋_GB2312" w:cs="仿宋_GB2312"/>
          <w:sz w:val="32"/>
          <w:szCs w:val="32"/>
        </w:rPr>
        <w:t>万元，其中：政府采购货物支出</w:t>
      </w:r>
      <w:r>
        <w:rPr>
          <w:rFonts w:hint="eastAsia" w:ascii="仿宋_GB2312" w:hAnsi="仿宋_GB2312" w:eastAsia="仿宋_GB2312" w:cs="仿宋_GB2312"/>
          <w:sz w:val="32"/>
          <w:szCs w:val="32"/>
        </w:rPr>
        <w:t>6.8</w:t>
      </w:r>
      <w:r>
        <w:rPr>
          <w:rFonts w:hint="eastAsia" w:eastAsia="仿宋_GB2312" w:cs="仿宋_GB2312"/>
          <w:sz w:val="32"/>
          <w:szCs w:val="32"/>
        </w:rPr>
        <w:t>万元、政府采购工程支出</w:t>
      </w:r>
      <w:r>
        <w:rPr>
          <w:rFonts w:hint="eastAsia" w:ascii="仿宋_GB2312" w:hAnsi="仿宋_GB2312" w:eastAsia="仿宋_GB2312" w:cs="仿宋_GB2312"/>
          <w:sz w:val="32"/>
          <w:szCs w:val="32"/>
        </w:rPr>
        <w:t>0</w:t>
      </w:r>
      <w:r>
        <w:rPr>
          <w:rFonts w:hint="eastAsia" w:eastAsia="仿宋_GB2312" w:cs="仿宋_GB2312"/>
          <w:sz w:val="32"/>
          <w:szCs w:val="32"/>
        </w:rPr>
        <w:t>万元、政府采购服务支出</w:t>
      </w:r>
      <w:r>
        <w:rPr>
          <w:rFonts w:hint="eastAsia" w:ascii="仿宋_GB2312" w:hAnsi="仿宋_GB2312" w:eastAsia="仿宋_GB2312" w:cs="仿宋_GB2312"/>
          <w:sz w:val="32"/>
          <w:szCs w:val="32"/>
        </w:rPr>
        <w:t>1.05</w:t>
      </w:r>
      <w:r>
        <w:rPr>
          <w:rFonts w:hint="eastAsia" w:eastAsia="仿宋_GB2312" w:cs="仿宋_GB2312"/>
          <w:sz w:val="32"/>
          <w:szCs w:val="32"/>
        </w:rPr>
        <w:t>万元。</w:t>
      </w:r>
      <w:r>
        <w:rPr>
          <w:rFonts w:hint="eastAsia" w:ascii="仿宋_GB2312" w:hAnsi="仿宋_GB2312" w:eastAsia="仿宋_GB2312" w:cs="仿宋_GB2312"/>
          <w:sz w:val="32"/>
          <w:szCs w:val="32"/>
        </w:rPr>
        <w:t>主要用于</w:t>
      </w:r>
      <w:r>
        <w:rPr>
          <w:rFonts w:hint="eastAsia" w:eastAsia="仿宋_GB2312" w:cs="仿宋_GB2312"/>
          <w:sz w:val="32"/>
          <w:szCs w:val="32"/>
        </w:rPr>
        <w:t>公务用车燃料费、保险费等支出。授予中小企业合同金额</w:t>
      </w:r>
      <w:r>
        <w:rPr>
          <w:rFonts w:hint="eastAsia" w:ascii="仿宋_GB2312" w:hAnsi="仿宋_GB2312" w:eastAsia="仿宋_GB2312" w:cs="仿宋_GB2312"/>
          <w:sz w:val="32"/>
          <w:szCs w:val="32"/>
        </w:rPr>
        <w:t>7.68</w:t>
      </w:r>
      <w:r>
        <w:rPr>
          <w:rFonts w:hint="eastAsia" w:eastAsia="仿宋_GB2312" w:cs="仿宋_GB2312"/>
          <w:sz w:val="32"/>
          <w:szCs w:val="32"/>
        </w:rPr>
        <w:t>万元，占政府采购支出总额的</w:t>
      </w:r>
      <w:r>
        <w:rPr>
          <w:rFonts w:hint="eastAsia" w:ascii="仿宋_GB2312" w:hAnsi="仿宋_GB2312" w:eastAsia="仿宋_GB2312" w:cs="仿宋_GB2312"/>
          <w:sz w:val="32"/>
          <w:szCs w:val="32"/>
        </w:rPr>
        <w:t>97.8</w:t>
      </w:r>
      <w:r>
        <w:rPr>
          <w:rFonts w:hint="eastAsia" w:eastAsia="仿宋_GB2312" w:cs="仿宋_GB2312"/>
          <w:sz w:val="32"/>
          <w:szCs w:val="32"/>
        </w:rPr>
        <w:t>%，其中：授予小微企业合同金额</w:t>
      </w:r>
      <w:r>
        <w:rPr>
          <w:rFonts w:hint="eastAsia" w:ascii="仿宋_GB2312" w:hAnsi="仿宋_GB2312" w:eastAsia="仿宋_GB2312" w:cs="仿宋_GB2312"/>
          <w:sz w:val="32"/>
          <w:szCs w:val="32"/>
        </w:rPr>
        <w:t>6.54</w:t>
      </w:r>
      <w:r>
        <w:rPr>
          <w:rFonts w:hint="eastAsia" w:eastAsia="仿宋_GB2312" w:cs="仿宋_GB2312"/>
          <w:sz w:val="32"/>
          <w:szCs w:val="32"/>
        </w:rPr>
        <w:t>万元，占政府采购支出总额的</w:t>
      </w:r>
      <w:r>
        <w:rPr>
          <w:rFonts w:hint="eastAsia" w:ascii="仿宋_GB2312" w:hAnsi="仿宋_GB2312" w:eastAsia="仿宋_GB2312" w:cs="仿宋_GB2312"/>
          <w:sz w:val="32"/>
          <w:szCs w:val="32"/>
        </w:rPr>
        <w:t>83.2</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45" w:name="_Toc15377224"/>
      <w:r>
        <w:rPr>
          <w:rFonts w:hint="eastAsia" w:eastAsia="楷体_GB2312" w:cs="楷体_GB2312"/>
          <w:b/>
          <w:sz w:val="32"/>
          <w:szCs w:val="32"/>
        </w:rPr>
        <w:t>（三）国有资产占有使用情况</w:t>
      </w:r>
      <w:bookmarkEnd w:id="45"/>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攀枝花市12345群众服务中心</w:t>
      </w:r>
      <w:r>
        <w:rPr>
          <w:rFonts w:hint="eastAsia" w:eastAsia="仿宋_GB2312" w:cs="仿宋_GB2312"/>
          <w:sz w:val="32"/>
          <w:szCs w:val="32"/>
        </w:rPr>
        <w:t>共有车辆</w:t>
      </w:r>
      <w:r>
        <w:rPr>
          <w:rFonts w:hint="eastAsia" w:ascii="仿宋_GB2312" w:hAnsi="仿宋_GB2312" w:eastAsia="仿宋_GB2312" w:cs="仿宋_GB2312"/>
          <w:sz w:val="32"/>
          <w:szCs w:val="32"/>
        </w:rPr>
        <w:t>1</w:t>
      </w:r>
      <w:r>
        <w:rPr>
          <w:rFonts w:hint="eastAsia" w:eastAsia="仿宋_GB2312" w:cs="仿宋_GB2312"/>
          <w:sz w:val="32"/>
          <w:szCs w:val="32"/>
        </w:rPr>
        <w:t>辆，其中：副部（省）级及以上领导用车</w:t>
      </w:r>
      <w:r>
        <w:rPr>
          <w:rFonts w:hint="eastAsia" w:ascii="仿宋_GB2312" w:hAnsi="仿宋_GB2312" w:eastAsia="仿宋_GB2312" w:cs="仿宋_GB2312"/>
          <w:sz w:val="32"/>
          <w:szCs w:val="32"/>
        </w:rPr>
        <w:t>0</w:t>
      </w:r>
      <w:r>
        <w:rPr>
          <w:rFonts w:hint="eastAsia" w:eastAsia="仿宋_GB2312" w:cs="仿宋_GB2312"/>
          <w:sz w:val="32"/>
          <w:szCs w:val="32"/>
        </w:rPr>
        <w:t>辆、主要负责人用车</w:t>
      </w:r>
      <w:r>
        <w:rPr>
          <w:rFonts w:hint="eastAsia" w:ascii="仿宋_GB2312" w:hAnsi="仿宋_GB2312" w:eastAsia="仿宋_GB2312" w:cs="仿宋_GB2312"/>
          <w:sz w:val="32"/>
          <w:szCs w:val="32"/>
        </w:rPr>
        <w:t>0</w:t>
      </w:r>
      <w:r>
        <w:rPr>
          <w:rFonts w:hint="eastAsia" w:eastAsia="仿宋_GB2312" w:cs="仿宋_GB2312"/>
          <w:sz w:val="32"/>
          <w:szCs w:val="32"/>
        </w:rPr>
        <w:t>辆、机要通信用车</w:t>
      </w:r>
      <w:r>
        <w:rPr>
          <w:rFonts w:hint="eastAsia" w:ascii="仿宋_GB2312" w:hAnsi="仿宋_GB2312" w:eastAsia="仿宋_GB2312" w:cs="仿宋_GB2312"/>
          <w:sz w:val="32"/>
          <w:szCs w:val="32"/>
        </w:rPr>
        <w:t>0</w:t>
      </w:r>
      <w:r>
        <w:rPr>
          <w:rFonts w:hint="eastAsia" w:eastAsia="仿宋_GB2312" w:cs="仿宋_GB2312"/>
          <w:sz w:val="32"/>
          <w:szCs w:val="32"/>
        </w:rPr>
        <w:t>辆、应急保障用车</w:t>
      </w:r>
      <w:r>
        <w:rPr>
          <w:rFonts w:hint="eastAsia" w:ascii="仿宋_GB2312" w:hAnsi="仿宋_GB2312" w:eastAsia="仿宋_GB2312" w:cs="仿宋_GB2312"/>
          <w:sz w:val="32"/>
          <w:szCs w:val="32"/>
        </w:rPr>
        <w:t>0</w:t>
      </w:r>
      <w:r>
        <w:rPr>
          <w:rFonts w:hint="eastAsia" w:eastAsia="仿宋_GB2312" w:cs="仿宋_GB2312"/>
          <w:sz w:val="32"/>
          <w:szCs w:val="32"/>
        </w:rPr>
        <w:t>辆、执法执勤用车</w:t>
      </w:r>
      <w:r>
        <w:rPr>
          <w:rFonts w:hint="eastAsia" w:ascii="仿宋_GB2312" w:hAnsi="仿宋_GB2312" w:eastAsia="仿宋_GB2312" w:cs="仿宋_GB2312"/>
          <w:sz w:val="32"/>
          <w:szCs w:val="32"/>
        </w:rPr>
        <w:t>0</w:t>
      </w:r>
      <w:r>
        <w:rPr>
          <w:rFonts w:hint="eastAsia" w:eastAsia="仿宋_GB2312" w:cs="仿宋_GB2312"/>
          <w:sz w:val="32"/>
          <w:szCs w:val="32"/>
        </w:rPr>
        <w:t>辆、特种专业技术用车</w:t>
      </w:r>
      <w:r>
        <w:rPr>
          <w:rFonts w:hint="eastAsia" w:ascii="仿宋_GB2312" w:hAnsi="仿宋_GB2312" w:eastAsia="仿宋_GB2312" w:cs="仿宋_GB2312"/>
          <w:sz w:val="32"/>
          <w:szCs w:val="32"/>
        </w:rPr>
        <w:t>0</w:t>
      </w:r>
      <w:r>
        <w:rPr>
          <w:rFonts w:hint="eastAsia" w:eastAsia="仿宋_GB2312" w:cs="仿宋_GB2312"/>
          <w:sz w:val="32"/>
          <w:szCs w:val="32"/>
        </w:rPr>
        <w:t>辆、离退休干部服务用车</w:t>
      </w:r>
      <w:r>
        <w:rPr>
          <w:rFonts w:hint="eastAsia" w:ascii="仿宋_GB2312" w:hAnsi="仿宋_GB2312" w:eastAsia="仿宋_GB2312" w:cs="仿宋_GB2312"/>
          <w:sz w:val="32"/>
          <w:szCs w:val="32"/>
        </w:rPr>
        <w:t>0</w:t>
      </w:r>
      <w:r>
        <w:rPr>
          <w:rFonts w:hint="eastAsia" w:eastAsia="仿宋_GB2312" w:cs="仿宋_GB2312"/>
          <w:sz w:val="32"/>
          <w:szCs w:val="32"/>
        </w:rPr>
        <w:t>辆、其他用车</w:t>
      </w:r>
      <w:r>
        <w:rPr>
          <w:rFonts w:hint="eastAsia" w:ascii="仿宋_GB2312" w:hAnsi="仿宋_GB2312" w:eastAsia="仿宋_GB2312" w:cs="仿宋_GB2312"/>
          <w:sz w:val="32"/>
          <w:szCs w:val="32"/>
        </w:rPr>
        <w:t>1</w:t>
      </w:r>
      <w:r>
        <w:rPr>
          <w:rFonts w:hint="eastAsia" w:eastAsia="仿宋_GB2312" w:cs="仿宋_GB2312"/>
          <w:sz w:val="32"/>
          <w:szCs w:val="32"/>
        </w:rPr>
        <w:t>辆，其他用车主要是</w:t>
      </w:r>
      <w:r>
        <w:rPr>
          <w:rFonts w:hint="eastAsia" w:ascii="仿宋_GB2312" w:hAnsi="仿宋_GB2312" w:eastAsia="仿宋_GB2312" w:cs="仿宋_GB2312"/>
          <w:sz w:val="32"/>
          <w:szCs w:val="32"/>
        </w:rPr>
        <w:t>用于</w:t>
      </w:r>
      <w:r>
        <w:rPr>
          <w:rFonts w:hint="eastAsia" w:ascii="仿宋_GB2312" w:eastAsia="仿宋_GB2312"/>
          <w:sz w:val="32"/>
          <w:szCs w:val="32"/>
        </w:rPr>
        <w:t>数字城管、12345热线工作检查及日常办公</w:t>
      </w:r>
      <w:r>
        <w:rPr>
          <w:rFonts w:hint="eastAsia" w:ascii="仿宋_GB2312" w:hAnsi="仿宋_GB2312" w:eastAsia="仿宋_GB2312" w:cs="仿宋_GB2312"/>
          <w:sz w:val="32"/>
          <w:szCs w:val="32"/>
        </w:rPr>
        <w:t>。</w:t>
      </w:r>
      <w:r>
        <w:rPr>
          <w:rFonts w:hint="eastAsia" w:eastAsia="仿宋_GB2312" w:cs="仿宋_GB2312"/>
          <w:sz w:val="32"/>
          <w:szCs w:val="32"/>
        </w:rPr>
        <w:t>单价100万元（含）以上设备（不含车辆）</w:t>
      </w:r>
      <w:r>
        <w:rPr>
          <w:rFonts w:hint="eastAsia" w:ascii="仿宋_GB2312" w:hAnsi="仿宋_GB2312" w:eastAsia="仿宋_GB2312" w:cs="仿宋_GB2312"/>
          <w:sz w:val="32"/>
          <w:szCs w:val="32"/>
        </w:rPr>
        <w:t>0</w:t>
      </w:r>
      <w:r>
        <w:rPr>
          <w:rFonts w:hint="eastAsia" w:eastAsia="仿宋_GB2312" w:cs="仿宋_GB2312"/>
          <w:sz w:val="32"/>
          <w:szCs w:val="32"/>
        </w:rPr>
        <w:t>台（套）。</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攀枝花市12345群众服务中心在2025年度，组织对攀枝花市第四轮数字城管信息采集及市级指挥平台业务服务外包项目等4个项目涉及金额460.33万元开展了事前绩效评估，对4个项目编制了绩效目标，预算执行过程中，选取4个项目开展绩效监控。</w:t>
      </w:r>
    </w:p>
    <w:p>
      <w:pPr>
        <w:spacing w:line="600" w:lineRule="exact"/>
        <w:ind w:firstLine="640"/>
        <w:rPr>
          <w:rFonts w:ascii="仿宋_GB2312" w:hAnsi="仿宋_GB2312" w:eastAsia="仿宋_GB2312" w:cs="仿宋_GB2312"/>
          <w:sz w:val="32"/>
          <w:szCs w:val="32"/>
          <w:lang w:val="zh-CN"/>
        </w:rPr>
      </w:pPr>
      <w:r>
        <w:rPr>
          <w:rFonts w:hint="eastAsia" w:eastAsia="仿宋_GB2312" w:cs="仿宋_GB2312"/>
          <w:sz w:val="32"/>
          <w:szCs w:val="32"/>
        </w:rPr>
        <w:t>组织对2025年度一般公共预算全面开展绩效自评，形成攀枝花市第四轮数字城管信息采集及市级指挥平台业务服务外包项目等专项预算项目绩效自评报告，其中 12345政务服务便民热线平台运行维护服务外包业务</w:t>
      </w:r>
      <w:r>
        <w:rPr>
          <w:rFonts w:hint="eastAsia" w:ascii="仿宋_GB2312" w:hAnsi="仿宋_GB2312" w:eastAsia="仿宋_GB2312" w:cs="仿宋_GB2312"/>
          <w:sz w:val="32"/>
          <w:szCs w:val="32"/>
        </w:rPr>
        <w:t>绩效自评得分为97分，项目</w:t>
      </w:r>
      <w:r>
        <w:rPr>
          <w:rFonts w:hint="eastAsia" w:ascii="仿宋_GB2312" w:hAnsi="仿宋_GB2312" w:eastAsia="仿宋_GB2312" w:cs="仿宋_GB2312"/>
          <w:sz w:val="32"/>
          <w:szCs w:val="32"/>
          <w:lang w:val="zh-CN"/>
        </w:rPr>
        <w:t>确保热线 24 小时受理群众的各项诉求事项的受理、交办、转办和督办；</w:t>
      </w:r>
      <w:r>
        <w:rPr>
          <w:rFonts w:hint="eastAsia" w:ascii="仿宋_GB2312" w:hAnsi="仿宋_GB2312" w:eastAsia="仿宋_GB2312" w:cs="仿宋_GB2312"/>
          <w:sz w:val="32"/>
          <w:szCs w:val="32"/>
        </w:rPr>
        <w:t>攀枝花市第四轮数字城管信息采集及市级指挥平台业务服务外包项目自评得分为96分，项目</w:t>
      </w:r>
      <w:r>
        <w:rPr>
          <w:rFonts w:hint="eastAsia" w:ascii="仿宋_GB2312" w:hAnsi="仿宋_GB2312" w:eastAsia="仿宋_GB2312" w:cs="仿宋_GB2312"/>
          <w:sz w:val="32"/>
          <w:szCs w:val="32"/>
          <w:lang w:val="zh-CN"/>
        </w:rPr>
        <w:t>通过信息采集业务及指挥大厅调度工作，实现对城市各类问题时时监管，为市民群众提供更方便、更快捷的综合性服务，同时为创建文明城市和提升城市精细化管理水平发挥更大的技术支撑作用；接诉即办指挥大厅场地及设施改造项目</w:t>
      </w:r>
      <w:r>
        <w:rPr>
          <w:rFonts w:hint="eastAsia" w:ascii="仿宋_GB2312" w:hAnsi="仿宋_GB2312" w:eastAsia="仿宋_GB2312" w:cs="仿宋_GB2312"/>
          <w:sz w:val="32"/>
          <w:szCs w:val="32"/>
        </w:rPr>
        <w:t>自评得分为99分，项目严格按照招投标程序开展具体工作，对接诉即办指挥大厅进行改造维修及硬件设施完善，完成电路改造，局部顶面、墙面、地面维修改造和台席、电器采购等内容，满足工作使用和功能需求；攀枝花市公共便民服务体系建设项目自评得分为98分，通过项目设计、招投标及具体实施，完成“一表统揽”诉求问题填报、便民生活服务、五深治理（精准治理、主动治理、源头治理、协同治理、监督治理）大屏可视化指标设计相关工作任务，拓宽了热线服务范围。</w:t>
      </w:r>
      <w:r>
        <w:rPr>
          <w:rFonts w:hint="eastAsia" w:eastAsia="仿宋_GB2312" w:cs="仿宋_GB2312"/>
          <w:sz w:val="32"/>
          <w:szCs w:val="32"/>
        </w:rPr>
        <w:t>绩效自评报告详见附件。</w:t>
      </w: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46" w:name="_Toc15396613"/>
      <w:bookmarkStart w:id="47" w:name="_Toc15377225"/>
    </w:p>
    <w:p>
      <w:pPr>
        <w:pStyle w:val="2"/>
      </w:pPr>
    </w:p>
    <w:p>
      <w:pPr>
        <w:pStyle w:val="3"/>
        <w:ind w:left="420"/>
      </w:pPr>
    </w:p>
    <w:p/>
    <w:p>
      <w:pPr>
        <w:pStyle w:val="2"/>
      </w:pPr>
    </w:p>
    <w:p>
      <w:pPr>
        <w:pStyle w:val="3"/>
        <w:ind w:left="420"/>
      </w:pPr>
    </w:p>
    <w:p/>
    <w:p>
      <w:pPr>
        <w:pStyle w:val="2"/>
      </w:pPr>
    </w:p>
    <w:p>
      <w:pPr>
        <w:pStyle w:val="3"/>
        <w:ind w:left="420"/>
      </w:pPr>
    </w:p>
    <w:p/>
    <w:p>
      <w:pPr>
        <w:pStyle w:val="2"/>
      </w:pPr>
    </w:p>
    <w:p>
      <w:pPr>
        <w:pStyle w:val="3"/>
        <w:ind w:left="420"/>
      </w:pPr>
    </w:p>
    <w:p/>
    <w:p>
      <w:pPr>
        <w:pStyle w:val="2"/>
      </w:pPr>
    </w:p>
    <w:p>
      <w:pPr>
        <w:pStyle w:val="3"/>
        <w:ind w:left="420"/>
      </w:pPr>
    </w:p>
    <w:p/>
    <w:p>
      <w:pPr>
        <w:pStyle w:val="2"/>
      </w:pPr>
    </w:p>
    <w:p>
      <w:pPr>
        <w:pStyle w:val="3"/>
        <w:ind w:left="420"/>
      </w:pPr>
    </w:p>
    <w:p>
      <w:pPr>
        <w:spacing w:line="600" w:lineRule="exact"/>
        <w:jc w:val="center"/>
        <w:outlineLvl w:val="0"/>
        <w:rPr>
          <w:rFonts w:eastAsia="黑体"/>
          <w:sz w:val="44"/>
          <w:szCs w:val="44"/>
        </w:rPr>
      </w:pPr>
    </w:p>
    <w:p>
      <w:pPr>
        <w:pStyle w:val="2"/>
      </w:pPr>
    </w:p>
    <w:p>
      <w:pPr>
        <w:spacing w:line="600" w:lineRule="exact"/>
        <w:jc w:val="center"/>
        <w:outlineLvl w:val="0"/>
        <w:rPr>
          <w:rFonts w:eastAsia="黑体"/>
          <w:sz w:val="44"/>
          <w:szCs w:val="44"/>
        </w:rPr>
      </w:pPr>
    </w:p>
    <w:p>
      <w:pPr>
        <w:spacing w:line="600" w:lineRule="exact"/>
        <w:jc w:val="center"/>
        <w:outlineLvl w:val="0"/>
        <w:rPr>
          <w:rFonts w:eastAsia="黑体"/>
          <w:sz w:val="44"/>
          <w:szCs w:val="44"/>
        </w:rPr>
      </w:pPr>
      <w:r>
        <w:rPr>
          <w:rFonts w:hint="eastAsia" w:eastAsia="黑体"/>
          <w:sz w:val="44"/>
          <w:szCs w:val="44"/>
        </w:rPr>
        <w:t>第三部分  名词解释</w:t>
      </w:r>
      <w:bookmarkEnd w:id="46"/>
      <w:bookmarkEnd w:id="47"/>
    </w:p>
    <w:p>
      <w:pPr>
        <w:spacing w:line="600" w:lineRule="exact"/>
        <w:jc w:val="left"/>
        <w:rPr>
          <w:b/>
          <w:sz w:val="44"/>
          <w:szCs w:val="44"/>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1.一般公共预算拨款收入：指市级财政当年拨付的资金。</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2.社会保障和就业支出（类）行政事业单位养老支出（款）机关事业单位基本养老保险缴费支出（项）是指行政事业单位用于缴纳单位基本养老保险的支出；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3.城乡社区支出（类）城乡社区环境卫生（款）其他城乡社区管理事务支出（项）是指事业单位用于发放职工薪酬、维护单位正常运行的各项支出；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4.住房保障支出（类）住房改革支出（款）住房公积金（项）是指单位用于缴纳单位负担部分住房公积金的支出；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5.卫生健康支出（类）行政事业单位医疗（款）事业单位医疗（项）是指单位用于缴纳单位负担部分职工基本医疗保险的支出；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6.卫生健康支出（类）行政事业单位医疗（款）公务员医疗补助（项）是指单位用于缴纳单位负担部分职工公务员医疗补助；</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7.卫生健康支出（类）行政事业单位医疗（款）其他行政事业单位医疗支出（项）是指单位用于缴纳职工补充医疗保险补助。</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8.基本支出：</w:t>
      </w:r>
      <w:r>
        <w:rPr>
          <w:rFonts w:hint="eastAsia" w:eastAsia="仿宋_GB2312" w:cs="仿宋_GB2312"/>
          <w:sz w:val="32"/>
          <w:szCs w:val="32"/>
        </w:rPr>
        <w:t>指为保障机构正常运转、完成日常工作任务而发生的人员支出和公用支出。</w:t>
      </w:r>
    </w:p>
    <w:p>
      <w:pPr>
        <w:spacing w:line="600" w:lineRule="exact"/>
        <w:ind w:firstLine="640" w:firstLineChars="200"/>
        <w:rPr>
          <w:rFonts w:eastAsia="仿宋_GB2312" w:cs="仿宋_GB2312"/>
          <w:sz w:val="32"/>
          <w:szCs w:val="32"/>
        </w:rPr>
      </w:pPr>
      <w:r>
        <w:rPr>
          <w:rFonts w:hint="eastAsia" w:ascii="仿宋_GB2312" w:eastAsia="仿宋_GB2312"/>
          <w:sz w:val="32"/>
          <w:szCs w:val="32"/>
        </w:rPr>
        <w:t>9.项目支出：</w:t>
      </w:r>
      <w:r>
        <w:rPr>
          <w:rFonts w:hint="eastAsia" w:eastAsia="仿宋_GB2312" w:cs="仿宋_GB2312"/>
          <w:sz w:val="32"/>
          <w:szCs w:val="32"/>
        </w:rPr>
        <w:t>指在基本支出之外为完成特定行政任务和事业发展目标所发生的支出。</w:t>
      </w:r>
    </w:p>
    <w:p>
      <w:pPr>
        <w:spacing w:line="600" w:lineRule="exact"/>
        <w:ind w:firstLine="640"/>
        <w:rPr>
          <w:rFonts w:eastAsia="仿宋_GB2312" w:cs="仿宋_GB2312"/>
          <w:sz w:val="32"/>
          <w:szCs w:val="32"/>
        </w:rPr>
      </w:pPr>
      <w:r>
        <w:rPr>
          <w:rFonts w:hint="eastAsia" w:ascii="仿宋_GB2312" w:eastAsia="仿宋_GB2312"/>
          <w:sz w:val="32"/>
          <w:szCs w:val="32"/>
        </w:rPr>
        <w:t>10.“三公”经费：</w:t>
      </w:r>
      <w:r>
        <w:rPr>
          <w:rFonts w:hint="eastAsia" w:eastAsia="仿宋_GB2312" w:cs="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jc w:val="center"/>
        <w:rPr>
          <w:rStyle w:val="28"/>
          <w:rFonts w:eastAsia="黑体"/>
          <w:b w:val="0"/>
        </w:rPr>
      </w:pPr>
      <w:bookmarkStart w:id="48" w:name="_Toc15377226"/>
      <w:r>
        <w:rPr>
          <w:rFonts w:hint="eastAsia" w:eastAsia="仿宋_GB2312" w:cs="仿宋_GB2312"/>
          <w:sz w:val="32"/>
          <w:szCs w:val="32"/>
        </w:rPr>
        <w:br w:type="page"/>
      </w:r>
      <w:bookmarkStart w:id="49" w:name="_Toc15396614"/>
      <w:r>
        <w:rPr>
          <w:rFonts w:hint="eastAsia" w:eastAsia="黑体"/>
          <w:sz w:val="44"/>
          <w:szCs w:val="44"/>
        </w:rPr>
        <w:t>第四部分  附件</w:t>
      </w:r>
      <w:bookmarkEnd w:id="49"/>
    </w:p>
    <w:p>
      <w:pPr>
        <w:spacing w:line="572" w:lineRule="exact"/>
        <w:jc w:val="left"/>
        <w:outlineLvl w:val="0"/>
        <w:rPr>
          <w:rFonts w:eastAsia="黑体" w:cs="黑体"/>
          <w:color w:val="FF0000"/>
          <w:sz w:val="32"/>
          <w:szCs w:val="32"/>
        </w:rPr>
      </w:pPr>
    </w:p>
    <w:p>
      <w:pPr>
        <w:pStyle w:val="3"/>
        <w:spacing w:line="560" w:lineRule="exact"/>
        <w:ind w:left="0" w:leftChars="0" w:firstLine="480" w:firstLineChars="150"/>
        <w:rPr>
          <w:rFonts w:ascii="Times New Roman" w:eastAsia="仿宋_GB2312"/>
          <w:sz w:val="32"/>
          <w:lang w:val="zh-CN"/>
        </w:rPr>
      </w:pPr>
      <w:r>
        <w:rPr>
          <w:rFonts w:hint="eastAsia" w:ascii="Times New Roman" w:eastAsia="仿宋_GB2312"/>
          <w:sz w:val="32"/>
        </w:rPr>
        <w:t xml:space="preserve">  部门预算项目支出绩效自评表（2025年度）见附件</w:t>
      </w:r>
    </w:p>
    <w:p>
      <w:pPr>
        <w:pStyle w:val="3"/>
        <w:spacing w:line="560" w:lineRule="exact"/>
        <w:ind w:left="0" w:leftChars="0" w:firstLine="0" w:firstLineChars="0"/>
        <w:rPr>
          <w:rFonts w:ascii="Times New Roman"/>
          <w:sz w:val="32"/>
          <w:highlight w:val="yellow"/>
          <w:lang w:val="zh-CN"/>
        </w:rPr>
      </w:pPr>
    </w:p>
    <w:p>
      <w:pPr>
        <w:pStyle w:val="8"/>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bookmarkStart w:id="50" w:name="_Toc15396618"/>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pStyle w:val="2"/>
        <w:rPr>
          <w:lang w:val="zh-CN"/>
        </w:rPr>
      </w:pPr>
    </w:p>
    <w:p>
      <w:pPr>
        <w:pStyle w:val="3"/>
        <w:ind w:left="420"/>
        <w:rPr>
          <w:lang w:val="zh-CN"/>
        </w:rPr>
      </w:pPr>
    </w:p>
    <w:p>
      <w:pPr>
        <w:rPr>
          <w:lang w:val="zh-CN"/>
        </w:rPr>
      </w:pPr>
    </w:p>
    <w:p>
      <w:pPr>
        <w:widowControl/>
        <w:jc w:val="center"/>
        <w:rPr>
          <w:rFonts w:eastAsia="仿宋"/>
        </w:rPr>
      </w:pPr>
      <w:r>
        <w:rPr>
          <w:rFonts w:hint="eastAsia" w:eastAsia="黑体"/>
          <w:sz w:val="44"/>
          <w:szCs w:val="44"/>
        </w:rPr>
        <w:t>第</w:t>
      </w:r>
      <w:r>
        <w:rPr>
          <w:rStyle w:val="28"/>
          <w:rFonts w:hint="eastAsia" w:eastAsia="黑体"/>
          <w:b w:val="0"/>
        </w:rPr>
        <w:t>五部分 附表</w:t>
      </w:r>
      <w:bookmarkEnd w:id="48"/>
      <w:bookmarkEnd w:id="50"/>
      <w:bookmarkStart w:id="51"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1"/>
    </w:p>
    <w:p>
      <w:pPr>
        <w:pStyle w:val="14"/>
        <w:adjustRightInd w:val="0"/>
        <w:snapToGrid w:val="0"/>
        <w:spacing w:line="560" w:lineRule="exact"/>
        <w:jc w:val="left"/>
        <w:rPr>
          <w:rFonts w:eastAsia="仿宋_GB2312" w:cs="仿宋_GB2312"/>
          <w:sz w:val="32"/>
          <w:szCs w:val="32"/>
        </w:rPr>
      </w:pPr>
      <w:bookmarkStart w:id="52" w:name="_Toc15396620"/>
      <w:r>
        <w:rPr>
          <w:rFonts w:hint="eastAsia" w:eastAsia="仿宋_GB2312" w:cs="仿宋_GB2312"/>
          <w:sz w:val="32"/>
          <w:szCs w:val="32"/>
        </w:rPr>
        <w:t>二、收入决算表</w:t>
      </w:r>
      <w:bookmarkEnd w:id="52"/>
    </w:p>
    <w:p>
      <w:pPr>
        <w:pStyle w:val="14"/>
        <w:adjustRightInd w:val="0"/>
        <w:snapToGrid w:val="0"/>
        <w:spacing w:line="560" w:lineRule="exact"/>
        <w:jc w:val="left"/>
        <w:rPr>
          <w:rFonts w:eastAsia="仿宋_GB2312" w:cs="仿宋_GB2312"/>
          <w:sz w:val="32"/>
          <w:szCs w:val="32"/>
        </w:rPr>
      </w:pPr>
      <w:bookmarkStart w:id="53" w:name="_Toc15396621"/>
      <w:r>
        <w:rPr>
          <w:rFonts w:hint="eastAsia" w:eastAsia="仿宋_GB2312" w:cs="仿宋_GB2312"/>
          <w:sz w:val="32"/>
          <w:szCs w:val="32"/>
        </w:rPr>
        <w:t>三、支出决算表</w:t>
      </w:r>
      <w:bookmarkEnd w:id="53"/>
    </w:p>
    <w:p>
      <w:pPr>
        <w:pStyle w:val="14"/>
        <w:adjustRightInd w:val="0"/>
        <w:snapToGrid w:val="0"/>
        <w:spacing w:line="560" w:lineRule="exact"/>
        <w:jc w:val="left"/>
        <w:rPr>
          <w:rFonts w:eastAsia="仿宋_GB2312" w:cs="仿宋_GB2312"/>
          <w:sz w:val="32"/>
          <w:szCs w:val="32"/>
        </w:rPr>
      </w:pPr>
      <w:bookmarkStart w:id="54" w:name="_Toc15396622"/>
      <w:r>
        <w:rPr>
          <w:rFonts w:hint="eastAsia" w:eastAsia="仿宋_GB2312" w:cs="仿宋_GB2312"/>
          <w:sz w:val="32"/>
          <w:szCs w:val="32"/>
        </w:rPr>
        <w:t>四、财政拨款收入支出决算总表</w:t>
      </w:r>
      <w:bookmarkEnd w:id="54"/>
    </w:p>
    <w:p>
      <w:pPr>
        <w:pStyle w:val="14"/>
        <w:adjustRightInd w:val="0"/>
        <w:snapToGrid w:val="0"/>
        <w:spacing w:line="560" w:lineRule="exact"/>
        <w:jc w:val="left"/>
        <w:rPr>
          <w:rFonts w:eastAsia="仿宋_GB2312" w:cs="仿宋_GB2312"/>
          <w:sz w:val="32"/>
          <w:szCs w:val="32"/>
        </w:rPr>
      </w:pPr>
      <w:bookmarkStart w:id="55" w:name="_Toc15396623"/>
      <w:r>
        <w:rPr>
          <w:rFonts w:hint="eastAsia" w:eastAsia="仿宋_GB2312" w:cs="仿宋_GB2312"/>
          <w:sz w:val="32"/>
          <w:szCs w:val="32"/>
        </w:rPr>
        <w:t>五、财政拨款支出决算明细表</w:t>
      </w:r>
      <w:bookmarkEnd w:id="55"/>
      <w:bookmarkStart w:id="56"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6"/>
    </w:p>
    <w:p>
      <w:pPr>
        <w:pStyle w:val="14"/>
        <w:adjustRightInd w:val="0"/>
        <w:snapToGrid w:val="0"/>
        <w:spacing w:line="560" w:lineRule="exact"/>
        <w:jc w:val="left"/>
        <w:rPr>
          <w:rFonts w:eastAsia="仿宋_GB2312" w:cs="仿宋_GB2312"/>
          <w:sz w:val="32"/>
          <w:szCs w:val="32"/>
        </w:rPr>
      </w:pPr>
      <w:bookmarkStart w:id="57" w:name="_Toc15396625"/>
      <w:r>
        <w:rPr>
          <w:rFonts w:hint="eastAsia" w:eastAsia="仿宋_GB2312" w:cs="仿宋_GB2312"/>
          <w:sz w:val="32"/>
          <w:szCs w:val="32"/>
        </w:rPr>
        <w:t>七、一般公共预算财政拨款支出决算明细表</w:t>
      </w:r>
      <w:bookmarkEnd w:id="57"/>
    </w:p>
    <w:p>
      <w:pPr>
        <w:pStyle w:val="14"/>
        <w:adjustRightInd w:val="0"/>
        <w:snapToGrid w:val="0"/>
        <w:spacing w:line="560" w:lineRule="exact"/>
        <w:jc w:val="left"/>
        <w:rPr>
          <w:rFonts w:eastAsia="仿宋_GB2312" w:cs="仿宋_GB2312"/>
          <w:sz w:val="32"/>
          <w:szCs w:val="32"/>
        </w:rPr>
      </w:pPr>
      <w:bookmarkStart w:id="58" w:name="_Toc15396626"/>
      <w:r>
        <w:rPr>
          <w:rFonts w:hint="eastAsia" w:eastAsia="仿宋_GB2312" w:cs="仿宋_GB2312"/>
          <w:sz w:val="32"/>
          <w:szCs w:val="32"/>
        </w:rPr>
        <w:t>八、一般公共预算财政拨款基本支出决算表</w:t>
      </w:r>
      <w:bookmarkEnd w:id="58"/>
    </w:p>
    <w:p>
      <w:pPr>
        <w:pStyle w:val="14"/>
        <w:adjustRightInd w:val="0"/>
        <w:snapToGrid w:val="0"/>
        <w:spacing w:line="560" w:lineRule="exact"/>
        <w:jc w:val="left"/>
        <w:rPr>
          <w:rFonts w:eastAsia="仿宋_GB2312" w:cs="仿宋_GB2312"/>
          <w:sz w:val="32"/>
          <w:szCs w:val="32"/>
        </w:rPr>
      </w:pPr>
      <w:bookmarkStart w:id="59" w:name="_Toc15396627"/>
      <w:r>
        <w:rPr>
          <w:rFonts w:hint="eastAsia" w:eastAsia="仿宋_GB2312" w:cs="仿宋_GB2312"/>
          <w:sz w:val="32"/>
          <w:szCs w:val="32"/>
        </w:rPr>
        <w:t>九、一般公共预算财政拨款项目支出决算表</w:t>
      </w:r>
      <w:bookmarkEnd w:id="59"/>
    </w:p>
    <w:p>
      <w:pPr>
        <w:pStyle w:val="14"/>
        <w:adjustRightInd w:val="0"/>
        <w:snapToGrid w:val="0"/>
        <w:spacing w:line="560" w:lineRule="exact"/>
        <w:jc w:val="left"/>
        <w:rPr>
          <w:rFonts w:eastAsia="仿宋_GB2312" w:cs="仿宋_GB2312"/>
          <w:sz w:val="32"/>
          <w:szCs w:val="32"/>
        </w:rPr>
      </w:pPr>
      <w:bookmarkStart w:id="60" w:name="_Toc15396628"/>
      <w:r>
        <w:rPr>
          <w:rFonts w:hint="eastAsia" w:eastAsia="仿宋_GB2312" w:cs="仿宋_GB2312"/>
          <w:sz w:val="32"/>
          <w:szCs w:val="32"/>
        </w:rPr>
        <w:t>十、</w:t>
      </w:r>
      <w:bookmarkEnd w:id="60"/>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1" w:name="_Toc15396629"/>
      <w:r>
        <w:rPr>
          <w:rFonts w:hint="eastAsia" w:eastAsia="仿宋_GB2312" w:cs="仿宋_GB2312"/>
          <w:sz w:val="32"/>
          <w:szCs w:val="32"/>
        </w:rPr>
        <w:t>十一、</w:t>
      </w:r>
      <w:bookmarkEnd w:id="61"/>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2" w:name="_Toc15396630"/>
      <w:r>
        <w:rPr>
          <w:rFonts w:hint="eastAsia" w:eastAsia="仿宋_GB2312" w:cs="仿宋_GB2312"/>
          <w:sz w:val="32"/>
          <w:szCs w:val="32"/>
        </w:rPr>
        <w:t>十二、</w:t>
      </w:r>
      <w:bookmarkEnd w:id="62"/>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3" w:name="_Toc15396631"/>
      <w:r>
        <w:rPr>
          <w:rFonts w:hint="eastAsia" w:eastAsia="仿宋_GB2312" w:cs="仿宋_GB2312"/>
          <w:sz w:val="32"/>
          <w:szCs w:val="32"/>
        </w:rPr>
        <w:t>十三、</w:t>
      </w:r>
      <w:bookmarkEnd w:id="63"/>
      <w:r>
        <w:rPr>
          <w:rFonts w:hint="eastAsia" w:eastAsia="仿宋_GB2312" w:cs="仿宋_GB2312"/>
          <w:sz w:val="32"/>
          <w:szCs w:val="32"/>
        </w:rPr>
        <w:t>财政拨款“三公”经费支出决算表</w:t>
      </w:r>
    </w:p>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altName w:val="Nimbus Roman No9 L"/>
    <w:panose1 w:val="020B0604020202020204"/>
    <w:charset w:val="00"/>
    <w:family w:val="swiss"/>
    <w:pitch w:val="default"/>
    <w:sig w:usb0="00000000" w:usb1="00000000" w:usb2="00000009" w:usb3="00000000" w:csb0="000001FF"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54160"/>
      <w:docPartObj>
        <w:docPartGallery w:val="AutoText"/>
      </w:docPartObj>
    </w:sdtPr>
    <w:sdtContent>
      <w:p>
        <w:pPr>
          <w:pStyle w:val="11"/>
          <w:jc w:val="right"/>
        </w:pP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1"/>
        <w:szCs w:val="21"/>
      </w:rPr>
      <w:id w:val="22954162"/>
      <w:docPartObj>
        <w:docPartGallery w:val="AutoText"/>
      </w:docPartObj>
    </w:sdtPr>
    <w:sdtEndPr>
      <w:rPr>
        <w:rFonts w:asciiTheme="minorEastAsia" w:hAnsiTheme="minorEastAsia" w:eastAsiaTheme="minorEastAsia"/>
        <w:sz w:val="21"/>
        <w:szCs w:val="21"/>
      </w:rPr>
    </w:sdtEndPr>
    <w:sdtContent>
      <w:p>
        <w:pPr>
          <w:pStyle w:val="11"/>
          <w:jc w:val="right"/>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   \* MERGEFORMAT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w:t>
        </w:r>
        <w:r>
          <w:rPr>
            <w:rFonts w:asciiTheme="minorEastAsia" w:hAnsiTheme="minorEastAsia" w:eastAsiaTheme="minorEastAsia"/>
            <w:sz w:val="21"/>
            <w:szCs w:val="21"/>
          </w:rPr>
          <w:t xml:space="preserve"> 6 -</w:t>
        </w:r>
        <w:r>
          <w:rPr>
            <w:rFonts w:asciiTheme="minorEastAsia" w:hAnsiTheme="minorEastAsia" w:eastAsiaTheme="minorEastAsia"/>
            <w:sz w:val="21"/>
            <w:szCs w:val="21"/>
          </w:rPr>
          <w:fldChar w:fldCharType="end"/>
        </w:r>
      </w:p>
    </w:sdtContent>
  </w:sdt>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587F"/>
    <w:rsid w:val="000222C6"/>
    <w:rsid w:val="0002549F"/>
    <w:rsid w:val="000468DB"/>
    <w:rsid w:val="00052D0A"/>
    <w:rsid w:val="0006487A"/>
    <w:rsid w:val="00065F8F"/>
    <w:rsid w:val="00070A43"/>
    <w:rsid w:val="00073987"/>
    <w:rsid w:val="000768F2"/>
    <w:rsid w:val="0009184B"/>
    <w:rsid w:val="00094236"/>
    <w:rsid w:val="0009593C"/>
    <w:rsid w:val="00097322"/>
    <w:rsid w:val="000A6A92"/>
    <w:rsid w:val="000A7D32"/>
    <w:rsid w:val="000B047F"/>
    <w:rsid w:val="000B5923"/>
    <w:rsid w:val="000B5A48"/>
    <w:rsid w:val="000B6FF3"/>
    <w:rsid w:val="000C3467"/>
    <w:rsid w:val="000C3CA6"/>
    <w:rsid w:val="000D1267"/>
    <w:rsid w:val="000D1D50"/>
    <w:rsid w:val="000D5782"/>
    <w:rsid w:val="000E6613"/>
    <w:rsid w:val="000E6819"/>
    <w:rsid w:val="000E7119"/>
    <w:rsid w:val="00114E9B"/>
    <w:rsid w:val="00142216"/>
    <w:rsid w:val="00144D6A"/>
    <w:rsid w:val="0014729F"/>
    <w:rsid w:val="00157BAB"/>
    <w:rsid w:val="001654D1"/>
    <w:rsid w:val="00166549"/>
    <w:rsid w:val="00174518"/>
    <w:rsid w:val="0018106D"/>
    <w:rsid w:val="001877A7"/>
    <w:rsid w:val="00191536"/>
    <w:rsid w:val="00196687"/>
    <w:rsid w:val="001C0962"/>
    <w:rsid w:val="001D7531"/>
    <w:rsid w:val="001E737D"/>
    <w:rsid w:val="001E7B17"/>
    <w:rsid w:val="001F0592"/>
    <w:rsid w:val="001F2169"/>
    <w:rsid w:val="001F7506"/>
    <w:rsid w:val="002006CD"/>
    <w:rsid w:val="00202B36"/>
    <w:rsid w:val="00204B7A"/>
    <w:rsid w:val="00204CDE"/>
    <w:rsid w:val="0021101A"/>
    <w:rsid w:val="00220536"/>
    <w:rsid w:val="00227B77"/>
    <w:rsid w:val="00235629"/>
    <w:rsid w:val="00260C38"/>
    <w:rsid w:val="002616C0"/>
    <w:rsid w:val="00265372"/>
    <w:rsid w:val="002662AA"/>
    <w:rsid w:val="00280496"/>
    <w:rsid w:val="002808A7"/>
    <w:rsid w:val="0028387A"/>
    <w:rsid w:val="00294DC9"/>
    <w:rsid w:val="00295495"/>
    <w:rsid w:val="002A31DE"/>
    <w:rsid w:val="002B2613"/>
    <w:rsid w:val="002B54A3"/>
    <w:rsid w:val="002B7ED2"/>
    <w:rsid w:val="002C0906"/>
    <w:rsid w:val="002D4473"/>
    <w:rsid w:val="002D6D05"/>
    <w:rsid w:val="002F1818"/>
    <w:rsid w:val="002F567B"/>
    <w:rsid w:val="003216A9"/>
    <w:rsid w:val="00335A74"/>
    <w:rsid w:val="0036561B"/>
    <w:rsid w:val="00367C59"/>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2176"/>
    <w:rsid w:val="003E6F55"/>
    <w:rsid w:val="00401B9E"/>
    <w:rsid w:val="00406254"/>
    <w:rsid w:val="004223DE"/>
    <w:rsid w:val="00433F7E"/>
    <w:rsid w:val="00434489"/>
    <w:rsid w:val="00435440"/>
    <w:rsid w:val="00437085"/>
    <w:rsid w:val="00443880"/>
    <w:rsid w:val="004464F4"/>
    <w:rsid w:val="00471401"/>
    <w:rsid w:val="00471983"/>
    <w:rsid w:val="00473F31"/>
    <w:rsid w:val="0048263A"/>
    <w:rsid w:val="00487E5D"/>
    <w:rsid w:val="004A711F"/>
    <w:rsid w:val="004B199D"/>
    <w:rsid w:val="004B3542"/>
    <w:rsid w:val="004B4690"/>
    <w:rsid w:val="004B53F6"/>
    <w:rsid w:val="004C64C9"/>
    <w:rsid w:val="004E0A2D"/>
    <w:rsid w:val="004E206B"/>
    <w:rsid w:val="004E6DF7"/>
    <w:rsid w:val="004F0FBD"/>
    <w:rsid w:val="0050305E"/>
    <w:rsid w:val="00505A47"/>
    <w:rsid w:val="00512FDA"/>
    <w:rsid w:val="00520DA0"/>
    <w:rsid w:val="005664BB"/>
    <w:rsid w:val="00566FFA"/>
    <w:rsid w:val="0057481D"/>
    <w:rsid w:val="0058486E"/>
    <w:rsid w:val="00585B33"/>
    <w:rsid w:val="0058638C"/>
    <w:rsid w:val="0059014D"/>
    <w:rsid w:val="005956EF"/>
    <w:rsid w:val="005A0FC6"/>
    <w:rsid w:val="005B3271"/>
    <w:rsid w:val="005B5C64"/>
    <w:rsid w:val="005C3999"/>
    <w:rsid w:val="005C5337"/>
    <w:rsid w:val="005C6BD0"/>
    <w:rsid w:val="005D1C8B"/>
    <w:rsid w:val="005D468D"/>
    <w:rsid w:val="005D5CED"/>
    <w:rsid w:val="005D6071"/>
    <w:rsid w:val="005F1A4C"/>
    <w:rsid w:val="00601098"/>
    <w:rsid w:val="0060492C"/>
    <w:rsid w:val="00605688"/>
    <w:rsid w:val="006070AF"/>
    <w:rsid w:val="00607E6C"/>
    <w:rsid w:val="006101B1"/>
    <w:rsid w:val="00610EF8"/>
    <w:rsid w:val="00614E44"/>
    <w:rsid w:val="0062270A"/>
    <w:rsid w:val="00622830"/>
    <w:rsid w:val="00623DA0"/>
    <w:rsid w:val="00630AEF"/>
    <w:rsid w:val="006325F8"/>
    <w:rsid w:val="00633463"/>
    <w:rsid w:val="00634C9A"/>
    <w:rsid w:val="006440E4"/>
    <w:rsid w:val="00645284"/>
    <w:rsid w:val="00661D10"/>
    <w:rsid w:val="0066343B"/>
    <w:rsid w:val="00664777"/>
    <w:rsid w:val="006748A4"/>
    <w:rsid w:val="00681A31"/>
    <w:rsid w:val="00683E73"/>
    <w:rsid w:val="00685111"/>
    <w:rsid w:val="006A3141"/>
    <w:rsid w:val="006A5E34"/>
    <w:rsid w:val="006B2422"/>
    <w:rsid w:val="006B2B9A"/>
    <w:rsid w:val="006C1937"/>
    <w:rsid w:val="006E024E"/>
    <w:rsid w:val="006F020C"/>
    <w:rsid w:val="006F2302"/>
    <w:rsid w:val="006F2BE2"/>
    <w:rsid w:val="007127B7"/>
    <w:rsid w:val="007166E8"/>
    <w:rsid w:val="0071798E"/>
    <w:rsid w:val="007416B6"/>
    <w:rsid w:val="007429B9"/>
    <w:rsid w:val="00746F48"/>
    <w:rsid w:val="0075404D"/>
    <w:rsid w:val="0076182A"/>
    <w:rsid w:val="00767B7E"/>
    <w:rsid w:val="007770C3"/>
    <w:rsid w:val="00784D24"/>
    <w:rsid w:val="00785FBA"/>
    <w:rsid w:val="00786E4A"/>
    <w:rsid w:val="007875EB"/>
    <w:rsid w:val="00790CB3"/>
    <w:rsid w:val="0079426B"/>
    <w:rsid w:val="007B0C38"/>
    <w:rsid w:val="007D1682"/>
    <w:rsid w:val="007D312A"/>
    <w:rsid w:val="007D3F19"/>
    <w:rsid w:val="007E23B0"/>
    <w:rsid w:val="007E23E5"/>
    <w:rsid w:val="007F1991"/>
    <w:rsid w:val="007F1CCA"/>
    <w:rsid w:val="007F2C2F"/>
    <w:rsid w:val="007F55FC"/>
    <w:rsid w:val="007F5665"/>
    <w:rsid w:val="00800112"/>
    <w:rsid w:val="00813348"/>
    <w:rsid w:val="008151C5"/>
    <w:rsid w:val="008253BB"/>
    <w:rsid w:val="0083706E"/>
    <w:rsid w:val="008408F6"/>
    <w:rsid w:val="008423A5"/>
    <w:rsid w:val="00850625"/>
    <w:rsid w:val="00853718"/>
    <w:rsid w:val="00855221"/>
    <w:rsid w:val="00860645"/>
    <w:rsid w:val="00871F71"/>
    <w:rsid w:val="00872FD8"/>
    <w:rsid w:val="00885AF4"/>
    <w:rsid w:val="008939CD"/>
    <w:rsid w:val="008B768C"/>
    <w:rsid w:val="008C439A"/>
    <w:rsid w:val="008C4DB1"/>
    <w:rsid w:val="008C4EAF"/>
    <w:rsid w:val="008C5176"/>
    <w:rsid w:val="008C7FD0"/>
    <w:rsid w:val="008E1DE7"/>
    <w:rsid w:val="008E707C"/>
    <w:rsid w:val="00900B08"/>
    <w:rsid w:val="00902155"/>
    <w:rsid w:val="00902FA3"/>
    <w:rsid w:val="00910D20"/>
    <w:rsid w:val="00923564"/>
    <w:rsid w:val="0092392E"/>
    <w:rsid w:val="009315F9"/>
    <w:rsid w:val="00933499"/>
    <w:rsid w:val="00935C98"/>
    <w:rsid w:val="00937FCD"/>
    <w:rsid w:val="00946945"/>
    <w:rsid w:val="00951248"/>
    <w:rsid w:val="0095152F"/>
    <w:rsid w:val="00954C49"/>
    <w:rsid w:val="00955E37"/>
    <w:rsid w:val="0097099F"/>
    <w:rsid w:val="00971997"/>
    <w:rsid w:val="00971FFC"/>
    <w:rsid w:val="0098660A"/>
    <w:rsid w:val="009931C3"/>
    <w:rsid w:val="009A2C8D"/>
    <w:rsid w:val="009B2C43"/>
    <w:rsid w:val="009B4EAE"/>
    <w:rsid w:val="009B7573"/>
    <w:rsid w:val="009C177C"/>
    <w:rsid w:val="009C22F4"/>
    <w:rsid w:val="009C2A4B"/>
    <w:rsid w:val="009C2E98"/>
    <w:rsid w:val="009C380C"/>
    <w:rsid w:val="009D3447"/>
    <w:rsid w:val="009D4711"/>
    <w:rsid w:val="009E01BF"/>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50DE"/>
    <w:rsid w:val="00A90180"/>
    <w:rsid w:val="00A91760"/>
    <w:rsid w:val="00A93B00"/>
    <w:rsid w:val="00A93C21"/>
    <w:rsid w:val="00AB1597"/>
    <w:rsid w:val="00AB4DB4"/>
    <w:rsid w:val="00AB64C9"/>
    <w:rsid w:val="00AC3C6A"/>
    <w:rsid w:val="00AC3D30"/>
    <w:rsid w:val="00AD5620"/>
    <w:rsid w:val="00AD656B"/>
    <w:rsid w:val="00AD7C1B"/>
    <w:rsid w:val="00AE16BA"/>
    <w:rsid w:val="00AE1EBE"/>
    <w:rsid w:val="00B01CA0"/>
    <w:rsid w:val="00B03C9D"/>
    <w:rsid w:val="00B060AE"/>
    <w:rsid w:val="00B10517"/>
    <w:rsid w:val="00B128C2"/>
    <w:rsid w:val="00B14E76"/>
    <w:rsid w:val="00B161B8"/>
    <w:rsid w:val="00B2048C"/>
    <w:rsid w:val="00B310B9"/>
    <w:rsid w:val="00B33896"/>
    <w:rsid w:val="00B35F3F"/>
    <w:rsid w:val="00B36CBB"/>
    <w:rsid w:val="00B41EBB"/>
    <w:rsid w:val="00B425E0"/>
    <w:rsid w:val="00B440AA"/>
    <w:rsid w:val="00B44B70"/>
    <w:rsid w:val="00B53C56"/>
    <w:rsid w:val="00B57DAF"/>
    <w:rsid w:val="00B77EA6"/>
    <w:rsid w:val="00B81598"/>
    <w:rsid w:val="00B841F1"/>
    <w:rsid w:val="00B944D6"/>
    <w:rsid w:val="00B95CF8"/>
    <w:rsid w:val="00BB4DF0"/>
    <w:rsid w:val="00BC289F"/>
    <w:rsid w:val="00BC2D50"/>
    <w:rsid w:val="00BC2FC5"/>
    <w:rsid w:val="00BC5361"/>
    <w:rsid w:val="00BC5460"/>
    <w:rsid w:val="00BC6B50"/>
    <w:rsid w:val="00BD0E25"/>
    <w:rsid w:val="00BF5BD6"/>
    <w:rsid w:val="00C03E31"/>
    <w:rsid w:val="00C10E5A"/>
    <w:rsid w:val="00C33E72"/>
    <w:rsid w:val="00C34A5B"/>
    <w:rsid w:val="00C354B2"/>
    <w:rsid w:val="00C35554"/>
    <w:rsid w:val="00C42709"/>
    <w:rsid w:val="00C533CC"/>
    <w:rsid w:val="00C5751C"/>
    <w:rsid w:val="00C61BFC"/>
    <w:rsid w:val="00C62B85"/>
    <w:rsid w:val="00C65438"/>
    <w:rsid w:val="00C76BD3"/>
    <w:rsid w:val="00C87FD8"/>
    <w:rsid w:val="00C91381"/>
    <w:rsid w:val="00C91CBB"/>
    <w:rsid w:val="00CA46F4"/>
    <w:rsid w:val="00CB1994"/>
    <w:rsid w:val="00CB2B01"/>
    <w:rsid w:val="00CB4E70"/>
    <w:rsid w:val="00CB5DC7"/>
    <w:rsid w:val="00CC0937"/>
    <w:rsid w:val="00CC09B6"/>
    <w:rsid w:val="00CC666F"/>
    <w:rsid w:val="00CD1E3F"/>
    <w:rsid w:val="00CE29F3"/>
    <w:rsid w:val="00CE2A95"/>
    <w:rsid w:val="00CE44F6"/>
    <w:rsid w:val="00CE49DA"/>
    <w:rsid w:val="00CE7B61"/>
    <w:rsid w:val="00CF363B"/>
    <w:rsid w:val="00D00095"/>
    <w:rsid w:val="00D114F0"/>
    <w:rsid w:val="00D20620"/>
    <w:rsid w:val="00D254F7"/>
    <w:rsid w:val="00D26091"/>
    <w:rsid w:val="00D2685C"/>
    <w:rsid w:val="00D34E7C"/>
    <w:rsid w:val="00D35489"/>
    <w:rsid w:val="00D36AFE"/>
    <w:rsid w:val="00D51276"/>
    <w:rsid w:val="00D7035F"/>
    <w:rsid w:val="00D71ECB"/>
    <w:rsid w:val="00D76482"/>
    <w:rsid w:val="00D804F7"/>
    <w:rsid w:val="00D874DF"/>
    <w:rsid w:val="00D96461"/>
    <w:rsid w:val="00DA634F"/>
    <w:rsid w:val="00DA65AC"/>
    <w:rsid w:val="00DB1913"/>
    <w:rsid w:val="00DC410D"/>
    <w:rsid w:val="00DC5A81"/>
    <w:rsid w:val="00DC68CA"/>
    <w:rsid w:val="00DC7CBA"/>
    <w:rsid w:val="00DD73B7"/>
    <w:rsid w:val="00DE1033"/>
    <w:rsid w:val="00DE2254"/>
    <w:rsid w:val="00DF28BC"/>
    <w:rsid w:val="00DF34B9"/>
    <w:rsid w:val="00E01053"/>
    <w:rsid w:val="00E07ACF"/>
    <w:rsid w:val="00E25766"/>
    <w:rsid w:val="00E331A1"/>
    <w:rsid w:val="00E33202"/>
    <w:rsid w:val="00E336A9"/>
    <w:rsid w:val="00E355A7"/>
    <w:rsid w:val="00E42446"/>
    <w:rsid w:val="00E472B1"/>
    <w:rsid w:val="00E50624"/>
    <w:rsid w:val="00E54633"/>
    <w:rsid w:val="00E568DF"/>
    <w:rsid w:val="00E62D98"/>
    <w:rsid w:val="00E63A14"/>
    <w:rsid w:val="00E64269"/>
    <w:rsid w:val="00E82267"/>
    <w:rsid w:val="00E82347"/>
    <w:rsid w:val="00E853CE"/>
    <w:rsid w:val="00E867B6"/>
    <w:rsid w:val="00EA010F"/>
    <w:rsid w:val="00EA4353"/>
    <w:rsid w:val="00ED1B63"/>
    <w:rsid w:val="00ED3C1F"/>
    <w:rsid w:val="00ED4085"/>
    <w:rsid w:val="00ED420E"/>
    <w:rsid w:val="00ED6FBE"/>
    <w:rsid w:val="00EE2F57"/>
    <w:rsid w:val="00EF339A"/>
    <w:rsid w:val="00EF4C34"/>
    <w:rsid w:val="00EF77C6"/>
    <w:rsid w:val="00F01C95"/>
    <w:rsid w:val="00F05438"/>
    <w:rsid w:val="00F05F7F"/>
    <w:rsid w:val="00F1361C"/>
    <w:rsid w:val="00F156F0"/>
    <w:rsid w:val="00F160C7"/>
    <w:rsid w:val="00F2408F"/>
    <w:rsid w:val="00F240E9"/>
    <w:rsid w:val="00F36D8F"/>
    <w:rsid w:val="00F417B1"/>
    <w:rsid w:val="00F45853"/>
    <w:rsid w:val="00F602DF"/>
    <w:rsid w:val="00F754A1"/>
    <w:rsid w:val="00F81FD9"/>
    <w:rsid w:val="00F83A9B"/>
    <w:rsid w:val="00F841AA"/>
    <w:rsid w:val="00F84A94"/>
    <w:rsid w:val="00F87E96"/>
    <w:rsid w:val="00FA23E8"/>
    <w:rsid w:val="00FA384B"/>
    <w:rsid w:val="00FC52AD"/>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DFF62C9"/>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7">
    <w:name w:val="B4209DF655124A0A941069F8EC429A91"/>
    <w:qFormat/>
    <w:uiPriority w:val="0"/>
    <w:pPr>
      <w:spacing w:after="200" w:line="276" w:lineRule="auto"/>
    </w:pPr>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18</Pages>
  <Words>953</Words>
  <Characters>5434</Characters>
  <Lines>45</Lines>
  <Paragraphs>12</Paragraphs>
  <TotalTime>316</TotalTime>
  <ScaleCrop>false</ScaleCrop>
  <LinksUpToDate>false</LinksUpToDate>
  <CharactersWithSpaces>6375</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2026-08-28T10:38:00Z</dcterms:created>
  <dc:creator>曹颖</dc:creator>
  <cp:lastModifiedBy>user</cp:lastModifiedBy>
  <cp:lastPrinted>2026-08-03T17:27:00Z</cp:lastPrinted>
  <dcterms:modified xsi:type="dcterms:W3CDTF">2026-09-14T11:03:54Z</dcterms:modified>
  <dc:title>四川省***</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400D301575C74348A5277D00A7902E06</vt:lpwstr>
  </property>
</Properties>
</file>