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77193"/>
      <w:bookmarkStart w:id="3" w:name="_Toc15396597"/>
      <w:bookmarkStart w:id="4" w:name="_Toc15396475"/>
      <w:bookmarkStart w:id="5" w:name="_Toc15306267"/>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w:t>
      </w:r>
      <w:r>
        <w:rPr>
          <w:rFonts w:hint="eastAsia" w:ascii="Times New Roman" w:eastAsia="方正小标宋简体" w:cs="Times New Roman"/>
          <w:color w:val="auto"/>
          <w:kern w:val="2"/>
          <w:sz w:val="44"/>
          <w:szCs w:val="44"/>
          <w:highlight w:val="none"/>
          <w:lang w:val="en-US" w:eastAsia="zh-CN" w:bidi="ar-SA"/>
        </w:rPr>
        <w:t>5</w:t>
      </w:r>
      <w:r>
        <w:rPr>
          <w:rFonts w:hint="eastAsia" w:ascii="Times New Roman" w:hAnsi="Times New Roman" w:eastAsia="方正小标宋简体" w:cs="Times New Roman"/>
          <w:color w:val="auto"/>
          <w:kern w:val="2"/>
          <w:sz w:val="44"/>
          <w:szCs w:val="44"/>
          <w:highlight w:val="none"/>
          <w:lang w:val="en-US" w:eastAsia="zh-CN" w:bidi="ar-SA"/>
        </w:rPr>
        <w:t>年度</w:t>
      </w:r>
      <w:r>
        <w:rPr>
          <w:rFonts w:hint="eastAsia" w:ascii="Times New Roman" w:eastAsia="方正小标宋简体" w:cs="Times New Roman"/>
          <w:color w:val="auto"/>
          <w:kern w:val="2"/>
          <w:sz w:val="44"/>
          <w:szCs w:val="44"/>
          <w:highlight w:val="none"/>
          <w:lang w:val="en-US" w:eastAsia="zh-CN" w:bidi="ar-SA"/>
        </w:rPr>
        <w:t>攀枝花市城市管理行政执法局</w:t>
      </w:r>
    </w:p>
    <w:p>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部门</w:t>
      </w:r>
      <w:r>
        <w:rPr>
          <w:rFonts w:hint="eastAsia" w:ascii="Times New Roman" w:hAnsi="Times New Roman" w:eastAsia="方正小标宋简体" w:cs="Times New Roman"/>
          <w:color w:val="auto"/>
          <w:kern w:val="2"/>
          <w:sz w:val="44"/>
          <w:szCs w:val="44"/>
          <w:highlight w:val="none"/>
          <w:lang w:val="en-US" w:eastAsia="zh-CN" w:bidi="ar-SA"/>
        </w:rPr>
        <w:t>决算公开文字说明</w:t>
      </w:r>
    </w:p>
    <w:p>
      <w:pPr>
        <w:spacing w:line="600" w:lineRule="exact"/>
        <w:jc w:val="center"/>
        <w:outlineLvl w:val="0"/>
        <w:rPr>
          <w:rFonts w:ascii="Times New Roman" w:hAnsi="Times New Roman" w:eastAsia="方正小标宋简体"/>
          <w:color w:val="auto"/>
          <w:sz w:val="72"/>
          <w:szCs w:val="72"/>
          <w:highlight w:val="none"/>
        </w:rPr>
      </w:pPr>
    </w:p>
    <w:p>
      <w:pPr>
        <w:pStyle w:val="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194"/>
      <w:bookmarkStart w:id="7" w:name="_Toc15396476"/>
      <w:bookmarkStart w:id="8" w:name="_Toc15377426"/>
      <w:bookmarkStart w:id="9" w:name="_Toc15378442"/>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w:t>
      </w:r>
      <w:r>
        <w:rPr>
          <w:rFonts w:hint="eastAsia" w:ascii="Times New Roman" w:eastAsia="方正小标宋简体" w:cs="Times New Roman"/>
          <w:color w:val="auto"/>
          <w:kern w:val="2"/>
          <w:sz w:val="44"/>
          <w:szCs w:val="44"/>
          <w:highlight w:val="none"/>
          <w:lang w:val="en-US" w:eastAsia="zh-CN" w:bidi="ar-SA"/>
        </w:rPr>
        <w:t>5</w:t>
      </w:r>
      <w:r>
        <w:rPr>
          <w:rFonts w:hint="eastAsia" w:ascii="Times New Roman" w:hAnsi="Times New Roman" w:eastAsia="方正小标宋简体" w:cs="Times New Roman"/>
          <w:color w:val="auto"/>
          <w:kern w:val="2"/>
          <w:sz w:val="44"/>
          <w:szCs w:val="44"/>
          <w:highlight w:val="none"/>
          <w:lang w:val="en-US" w:eastAsia="zh-CN" w:bidi="ar-SA"/>
        </w:rPr>
        <w:t>年度</w:t>
      </w: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spacing w:val="-17"/>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spacing w:val="-17"/>
          <w:kern w:val="2"/>
          <w:sz w:val="44"/>
          <w:szCs w:val="44"/>
          <w:highlight w:val="none"/>
          <w:lang w:val="en-US" w:eastAsia="zh-CN" w:bidi="ar-SA"/>
        </w:rPr>
        <w:t>攀枝花市城市管理行政执法局</w:t>
      </w:r>
      <w:r>
        <w:rPr>
          <w:rFonts w:hint="eastAsia" w:ascii="Times New Roman" w:hAnsi="Times New Roman" w:eastAsia="方正小标宋简体" w:cs="Times New Roman"/>
          <w:color w:val="auto"/>
          <w:spacing w:val="-17"/>
          <w:kern w:val="2"/>
          <w:sz w:val="44"/>
          <w:szCs w:val="44"/>
          <w:highlight w:val="none"/>
          <w:lang w:val="en-US" w:eastAsia="zh-CN" w:bidi="ar-SA"/>
        </w:rPr>
        <w:t>部门</w:t>
      </w:r>
      <w:r>
        <w:rPr>
          <w:rFonts w:hint="eastAsia" w:ascii="Times New Roman" w:eastAsia="方正小标宋简体" w:cs="Times New Roman"/>
          <w:color w:val="auto"/>
          <w:spacing w:val="-17"/>
          <w:kern w:val="2"/>
          <w:sz w:val="44"/>
          <w:szCs w:val="44"/>
          <w:highlight w:val="none"/>
          <w:lang w:val="en-US" w:eastAsia="zh-CN" w:bidi="ar-SA"/>
        </w:rPr>
        <w:t>决</w:t>
      </w:r>
      <w:r>
        <w:rPr>
          <w:rFonts w:hint="eastAsia" w:ascii="Times New Roman" w:hAnsi="Times New Roman" w:eastAsia="方正小标宋简体" w:cs="Times New Roman"/>
          <w:color w:val="auto"/>
          <w:spacing w:val="-17"/>
          <w:kern w:val="2"/>
          <w:sz w:val="44"/>
          <w:szCs w:val="44"/>
          <w:highlight w:val="none"/>
          <w:lang w:val="en-US" w:eastAsia="zh-CN" w:bidi="ar-SA"/>
        </w:rPr>
        <w:t>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14</w:t>
      </w:r>
      <w:bookmarkStart w:id="75" w:name="_GoBack"/>
      <w:bookmarkEnd w:id="75"/>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...................................................................4</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......................................................................4</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......................................................................7</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......................................................9</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......................9</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............10</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....14</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............15</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........................17</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.........................................18</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.................................................................21</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.........................................................................25</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...........128</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val="en-US" w:eastAsia="zh-CN"/>
        </w:rPr>
        <w:t>...................128</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pPr>
        <w:pStyle w:val="4"/>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黑体"/>
          <w:b w:val="0"/>
          <w:color w:val="auto"/>
          <w:highlight w:val="none"/>
          <w:lang w:eastAsia="zh-CN"/>
        </w:rPr>
      </w:pPr>
      <w:bookmarkStart w:id="14" w:name="_Toc15396600"/>
      <w:bookmarkStart w:id="15" w:name="_Toc15377197"/>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四川省攀枝花市城市管理行政执法局贯彻落实党中央关于城市管理工作的方针政策和省委、市委的决策部署，在履行职责过程中坚持和加强党对城市管理工作的集中统一领导。主要职责是：</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1.负责拟订城市管理地方性法规、规章草案。拟订全市城市管理发展规划、实施计划、管理标准等规范性文件。会同相关部门拟订城市管理工作目标并组织实施。</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2.负责城市管理的行政执法工作。集中行使市容环境卫生管理、城市绿化管理、公用事业管理方面的行政处罚权。根据省、市部署和要求，推进城市执法体制改革、改进城市管理工作。</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3.负责城市市容环境卫生综合管理工作。依法对城市市容环境卫生实施监督检查和考核。负责环境卫生作业企业的行业管理。负责城市建城区户外广告和招牌的监督管理。</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负责全市城市绿化监督管理工作。负责对全市城市园林绿化行业的管理、业务指导、培训、督促和检查。负责城市园林绿化管理标准和城市园林绿化建设工程有关管理规范的制定。负责城市建成区城市主干道道路两侧的行道树及其附属公共绿地的管理。负责城市规划区古树名木的保护管理工作。负责对权限内园林绿化企业监督管理工作。</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负责城镇燃气行业管理工作。负责对燃气企业的运营和服务监督指导。负责城镇燃气的特许经营及企业资质管理工作。拟订编制城镇燃气专项规划。负责燃气行业的统计分析工作。负责安全生产和职业健康工作。编制安全应急预案，参与安全事故的应急处置和事故调查。承担城市管理事权范围内应急突发事件的处置和应急抢险工作。牵头承担城市燃气设施的建设工作。牵头负责环境卫生、城市绿化、城市燃气设施建设的质量安全、文明施工等工作。</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负责城市环境卫生的行业管理工作。负责拟订公共环卫设施管理规范和标准。负责拟订本市环境卫生清扫保洁、垃圾收运管理规范标准并组织实施。负责城市生活垃圾分类，拟订生活垃圾分类投放、收集、运输、处置等管理标准和技术规范并监督实施。负责餐厨垃圾、生活垃圾的收集、运输、处置以及建筑垃圾的运输、消纳处置和资源化利用的监督管理。组织开展生活垃圾、餐厨垃圾、建筑垃圾方面集中整治工作。负责监督管理市级生活垃圾、餐厨垃圾处置项目的运营。负责爱国卫生运动相关工作。指导城市环卫行业的市场化工作。组织开展环境卫生方面集中整治工作。负责组织处理环境卫生相关突发、应急事件。牵头承担环境卫生设施的建设工作。</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7.负责城市市容市貌的行业管理工作。负责拟订城市临街建筑（构） 物外立面、户外广告、招牌等城市容貌秩序管理、城市精细化管理标准并组织实施。负责城市容貌秩序监督管理，组织开展“门前五包”推进工作和有损城市容貌的乱象治理。组织开展节假日、重大活动期间市容秩序保障工作。负责监督管理全市户外广告和招牌设置、户外广告设施和公共空间资源有偿出让的相关工作。负责城市管理治理体系和治理能力建设、监督检查和考评工作。牵头组织全市城乡环境综合治理工作。监督、协调城市管理的数字化、智能化建设与运行工作。负责12345 、12319民生热线的监督管理工作。牵头开展城市管理领域的大数据开发与应用。</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8.拟订城市管理工作经费的中长期计划和年度计划，会同有关部门对使用情况实施监督管理。</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9.参与城市新建、改扩建项目中涉及市容环境卫生、园林绿化项目的规划、方案审查、综合验收。</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10.承担职责范围内的安全生产和职业健康、生态环境保护、审批服务便民化等工作。</w:t>
      </w:r>
    </w:p>
    <w:p>
      <w:pPr>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11.完成市委、市政府交办的其他任务。</w:t>
      </w:r>
    </w:p>
    <w:p>
      <w:pPr>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ascii="仿宋_GB2312" w:hAnsi="仿宋_GB2312" w:eastAsia="仿宋_GB2312" w:cs="仿宋_GB2312"/>
          <w:color w:val="auto"/>
          <w:sz w:val="32"/>
          <w:szCs w:val="32"/>
          <w:highlight w:val="none"/>
        </w:rPr>
        <w:t>12.职能转变。根据“放管服”改革和政府职能转变的要求，精简审批环节，优化项目报建审批流程，推动“最多跑一次”“互联网+政务服务”等改革事项取得重大突破。参与并联审批、联合勘验、联合测绘、联合审图、联合验收以及区域评估。推动审批服务理念、制度、作风全方位深层次变革，最大限度提高企业和群众办事便捷性。推进线上线下深度融合。运用大数据精准分析和评估审批服务办件情况，有针对性地改进办理流程，让办事更便捷、服务更优质。以审批智能化、服务自助化、办事移动化为重点，整合实体大厅、网上平台、移动客户端、自助终端、服务热线等，建立统一的政务咨询投诉举报平台，实现线上线下功能互补、融合发展。加快水、气等服务领域改革，引入社会竞争，强化行业监管和社会监督，解决办事手续繁、效率低问题，提高服务质量。压缩办水办气时间，推动取消申请费、手续费等收费。</w:t>
      </w:r>
    </w:p>
    <w:p>
      <w:pPr>
        <w:pStyle w:val="4"/>
        <w:pageBreakBefore w:val="0"/>
        <w:widowControl w:val="0"/>
        <w:kinsoku/>
        <w:wordWrap/>
        <w:overflowPunct/>
        <w:topLinePunct w:val="0"/>
        <w:autoSpaceDE/>
        <w:autoSpaceDN/>
        <w:bidi w:val="0"/>
        <w:adjustRightInd/>
        <w:snapToGrid/>
        <w:ind w:firstLine="640" w:firstLineChars="200"/>
        <w:textAlignment w:val="auto"/>
        <w:rPr>
          <w:rStyle w:val="31"/>
          <w:rFonts w:ascii="Times New Roman" w:hAnsi="Times New Roman"/>
          <w:b w:val="0"/>
          <w:bCs w:val="0"/>
          <w:color w:val="auto"/>
          <w:highlight w:val="none"/>
        </w:rPr>
      </w:pPr>
      <w:bookmarkStart w:id="16" w:name="_Toc15396601"/>
      <w:bookmarkStart w:id="17" w:name="_Toc15377200"/>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6"/>
      <w:bookmarkEnd w:id="17"/>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四川省攀枝花市城市管理行政执法局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w:t>
      </w:r>
    </w:p>
    <w:p>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四川省攀枝花市城市管理行政执法局</w:t>
      </w:r>
      <w:r>
        <w:rPr>
          <w:rFonts w:hint="eastAsia" w:ascii="Times New Roman" w:hAnsi="Times New Roman" w:eastAsia="仿宋_GB2312" w:cs="仿宋_GB2312"/>
          <w:color w:val="auto"/>
          <w:sz w:val="32"/>
          <w:szCs w:val="32"/>
          <w:highlight w:val="none"/>
          <w:lang w:eastAsia="zh-CN"/>
        </w:rPr>
        <w:t>202</w:t>
      </w:r>
      <w:r>
        <w:rPr>
          <w:rFonts w:hint="eastAsia" w:ascii="Times New Roman"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rPr>
        <w:t>部门决算编制范围的二级预算单位包括：</w:t>
      </w:r>
    </w:p>
    <w:p>
      <w:pPr>
        <w:pStyle w:val="6"/>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8" w:name="_Toc15377202"/>
      <w:bookmarkStart w:id="19" w:name="_Toc15377433"/>
      <w:bookmarkStart w:id="20" w:name="_Toc15306276"/>
      <w:bookmarkStart w:id="21" w:name="_Toc15378449"/>
      <w:r>
        <w:rPr>
          <w:rFonts w:hint="eastAsia" w:ascii="Times New Roman" w:hAnsi="Times New Roman" w:eastAsia="仿宋_GB2312" w:cs="仿宋_GB2312"/>
          <w:color w:val="auto"/>
          <w:sz w:val="32"/>
          <w:szCs w:val="32"/>
          <w:highlight w:val="none"/>
        </w:rPr>
        <w:t>攀枝花市园林绿化服务中心</w:t>
      </w:r>
      <w:bookmarkEnd w:id="18"/>
      <w:bookmarkEnd w:id="19"/>
      <w:bookmarkEnd w:id="20"/>
      <w:bookmarkEnd w:id="21"/>
    </w:p>
    <w:p>
      <w:pPr>
        <w:pStyle w:val="6"/>
        <w:numPr>
          <w:ilvl w:val="0"/>
          <w:numId w:val="1"/>
        </w:numPr>
        <w:adjustRightInd w:val="0"/>
        <w:snapToGrid w:val="0"/>
        <w:spacing w:before="93" w:line="600" w:lineRule="exact"/>
        <w:outlineLvl w:val="2"/>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攀枝花市</w:t>
      </w:r>
      <w:r>
        <w:rPr>
          <w:rFonts w:hint="eastAsia" w:ascii="Times New Roman" w:cs="仿宋_GB2312"/>
          <w:color w:val="auto"/>
          <w:sz w:val="32"/>
          <w:szCs w:val="32"/>
          <w:highlight w:val="none"/>
          <w:lang w:val="en-US" w:eastAsia="zh-CN"/>
        </w:rPr>
        <w:t>12345群众服务中心</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22" w:name="_Toc15396602"/>
      <w:bookmarkStart w:id="23"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w:t>
      </w:r>
      <w:r>
        <w:rPr>
          <w:rFonts w:hint="eastAsia" w:eastAsia="方正小标宋简体" w:cs="方正小标宋简体"/>
          <w:b w:val="0"/>
          <w:color w:val="auto"/>
          <w:highlight w:val="none"/>
          <w:lang w:val="en-US" w:eastAsia="zh-CN"/>
        </w:rPr>
        <w:t>5</w:t>
      </w:r>
      <w:r>
        <w:rPr>
          <w:rFonts w:hint="eastAsia" w:ascii="Times New Roman" w:hAnsi="Times New Roman" w:eastAsia="方正小标宋简体" w:cs="方正小标宋简体"/>
          <w:b w:val="0"/>
          <w:color w:val="auto"/>
          <w:highlight w:val="none"/>
          <w:lang w:val="en-US" w:eastAsia="zh-CN"/>
        </w:rPr>
        <w:t>年度</w:t>
      </w:r>
      <w:r>
        <w:rPr>
          <w:rFonts w:hint="eastAsia" w:ascii="Times New Roman" w:hAnsi="Times New Roman" w:eastAsia="方正小标宋简体" w:cs="方正小标宋简体"/>
          <w:b w:val="0"/>
          <w:color w:val="auto"/>
          <w:highlight w:val="none"/>
        </w:rPr>
        <w:t>部门决算情况说明</w:t>
      </w:r>
      <w:bookmarkEnd w:id="22"/>
      <w:bookmarkEnd w:id="23"/>
    </w:p>
    <w:p>
      <w:pPr>
        <w:rPr>
          <w:rFonts w:ascii="Times New Roman" w:hAnsi="Times New Roman"/>
          <w:color w:val="auto"/>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4" w:name="_Toc15377205"/>
      <w:bookmarkStart w:id="25"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4"/>
      <w:bookmarkEnd w:id="25"/>
    </w:p>
    <w:p>
      <w:pPr>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600" w:lineRule="exact"/>
        <w:ind w:left="0" w:right="0" w:firstLine="640" w:firstLineChars="200"/>
        <w:jc w:val="both"/>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eastAsia="仿宋_GB2312" w:cs="仿宋_GB2312"/>
          <w:color w:val="auto"/>
          <w:sz w:val="32"/>
          <w:szCs w:val="32"/>
          <w:highlight w:val="none"/>
          <w:lang w:val="en-US" w:eastAsia="zh-CN"/>
        </w:rPr>
        <w:t>8948.86</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w:t>
      </w:r>
      <w:r>
        <w:rPr>
          <w:rFonts w:hint="eastAsia" w:eastAsia="仿宋_GB2312" w:cs="仿宋_GB2312"/>
          <w:color w:val="auto"/>
          <w:sz w:val="32"/>
          <w:szCs w:val="32"/>
          <w:highlight w:val="none"/>
          <w:lang w:eastAsia="zh-CN"/>
        </w:rPr>
        <w:t>减少</w:t>
      </w:r>
      <w:r>
        <w:rPr>
          <w:rFonts w:hint="eastAsia" w:eastAsia="仿宋_GB2312" w:cs="仿宋_GB2312"/>
          <w:color w:val="auto"/>
          <w:sz w:val="32"/>
          <w:szCs w:val="32"/>
          <w:highlight w:val="none"/>
          <w:lang w:val="en-US" w:eastAsia="zh-CN"/>
        </w:rPr>
        <w:t>135.06</w:t>
      </w:r>
      <w:r>
        <w:rPr>
          <w:rFonts w:hint="eastAsia" w:ascii="Times New Roman" w:hAnsi="Times New Roman" w:eastAsia="仿宋_GB2312" w:cs="仿宋_GB2312"/>
          <w:color w:val="auto"/>
          <w:sz w:val="32"/>
          <w:szCs w:val="32"/>
          <w:highlight w:val="none"/>
        </w:rPr>
        <w:t>万元，</w:t>
      </w:r>
      <w:r>
        <w:rPr>
          <w:rFonts w:hint="eastAsia" w:eastAsia="仿宋_GB2312" w:cs="仿宋_GB2312"/>
          <w:color w:val="auto"/>
          <w:sz w:val="32"/>
          <w:szCs w:val="32"/>
          <w:highlight w:val="none"/>
          <w:lang w:eastAsia="zh-CN"/>
        </w:rPr>
        <w:t>下降</w:t>
      </w:r>
      <w:r>
        <w:rPr>
          <w:rFonts w:hint="eastAsia"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2025年</w:t>
      </w:r>
      <w:r>
        <w:rPr>
          <w:rFonts w:hint="eastAsia" w:eastAsia="仿宋_GB2312" w:cs="仿宋_GB2312"/>
          <w:color w:val="auto"/>
          <w:sz w:val="32"/>
          <w:szCs w:val="32"/>
          <w:highlight w:val="none"/>
          <w:lang w:eastAsia="zh-CN"/>
        </w:rPr>
        <w:t>缩减了项目支出</w:t>
      </w:r>
      <w:r>
        <w:rPr>
          <w:rFonts w:hint="eastAsia" w:ascii="Times New Roman" w:hAnsi="Times New Roman" w:eastAsia="仿宋_GB2312" w:cs="仿宋_GB2312"/>
          <w:color w:val="auto"/>
          <w:sz w:val="32"/>
          <w:szCs w:val="32"/>
          <w:highlight w:val="none"/>
          <w:lang w:val="en-US" w:eastAsia="zh-CN"/>
        </w:rPr>
        <w:t>。</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675505" cy="2609215"/>
            <wp:effectExtent l="0" t="0" r="10795" b="635"/>
            <wp:docPr id="3" name="图片 3"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true"/>
                    </pic:cNvPicPr>
                  </pic:nvPicPr>
                  <pic:blipFill>
                    <a:blip r:embed="rId9"/>
                    <a:stretch>
                      <a:fillRect/>
                    </a:stretch>
                  </pic:blipFill>
                  <pic:spPr>
                    <a:xfrm>
                      <a:off x="0" y="0"/>
                      <a:ext cx="4675505" cy="26092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15377206"/>
      <w:bookmarkStart w:id="27" w:name="_Toc15396604"/>
      <w:r>
        <w:rPr>
          <w:rFonts w:hint="eastAsia" w:ascii="Times New Roman" w:hAnsi="Times New Roman" w:eastAsia="黑体"/>
          <w:color w:val="auto"/>
          <w:sz w:val="32"/>
          <w:szCs w:val="32"/>
          <w:highlight w:val="none"/>
          <w:lang w:eastAsia="zh-CN"/>
        </w:rPr>
        <w:t>二、收入决算情况说明</w:t>
      </w:r>
      <w:bookmarkEnd w:id="26"/>
      <w:bookmarkEnd w:id="27"/>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年度本年收入合计</w:t>
      </w:r>
      <w:r>
        <w:rPr>
          <w:rFonts w:hint="eastAsia" w:eastAsia="仿宋_GB2312" w:cs="仿宋_GB2312"/>
          <w:color w:val="auto"/>
          <w:kern w:val="2"/>
          <w:sz w:val="32"/>
          <w:szCs w:val="32"/>
          <w:highlight w:val="none"/>
          <w:lang w:val="en-US" w:eastAsia="zh-CN" w:bidi="ar-SA"/>
        </w:rPr>
        <w:t>8948.86</w:t>
      </w:r>
      <w:r>
        <w:rPr>
          <w:rFonts w:hint="eastAsia" w:ascii="Times New Roman" w:hAnsi="Times New Roman" w:eastAsia="仿宋_GB2312" w:cs="仿宋_GB2312"/>
          <w:color w:val="auto"/>
          <w:kern w:val="2"/>
          <w:sz w:val="32"/>
          <w:szCs w:val="32"/>
          <w:highlight w:val="none"/>
          <w:lang w:val="en-US" w:eastAsia="zh-CN" w:bidi="ar-SA"/>
        </w:rPr>
        <w:t>万元，其中：一般公共预算财政拨款收入</w:t>
      </w:r>
      <w:r>
        <w:rPr>
          <w:rFonts w:hint="eastAsia" w:eastAsia="仿宋_GB2312" w:cs="仿宋_GB2312"/>
          <w:color w:val="auto"/>
          <w:kern w:val="2"/>
          <w:sz w:val="32"/>
          <w:szCs w:val="32"/>
          <w:highlight w:val="none"/>
          <w:lang w:val="en-US" w:eastAsia="zh-CN" w:bidi="ar-SA"/>
        </w:rPr>
        <w:t>8662.73</w:t>
      </w:r>
      <w:r>
        <w:rPr>
          <w:rFonts w:hint="eastAsia" w:ascii="Times New Roman" w:hAnsi="Times New Roman" w:eastAsia="仿宋_GB2312" w:cs="仿宋_GB2312"/>
          <w:color w:val="auto"/>
          <w:kern w:val="2"/>
          <w:sz w:val="32"/>
          <w:szCs w:val="32"/>
          <w:highlight w:val="none"/>
          <w:lang w:val="en-US" w:eastAsia="zh-CN" w:bidi="ar-SA"/>
        </w:rPr>
        <w:t>万元，占96.</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%；政府性基金预算财政拨款收入</w:t>
      </w:r>
      <w:r>
        <w:rPr>
          <w:rFonts w:hint="eastAsia" w:eastAsia="仿宋_GB2312" w:cs="仿宋_GB2312"/>
          <w:color w:val="auto"/>
          <w:kern w:val="2"/>
          <w:sz w:val="32"/>
          <w:szCs w:val="32"/>
          <w:highlight w:val="none"/>
          <w:lang w:val="en-US" w:eastAsia="zh-CN" w:bidi="ar-SA"/>
        </w:rPr>
        <w:t>286.13</w:t>
      </w:r>
      <w:r>
        <w:rPr>
          <w:rFonts w:hint="eastAsia" w:ascii="Times New Roman" w:hAnsi="Times New Roman" w:eastAsia="仿宋_GB2312" w:cs="仿宋_GB2312"/>
          <w:color w:val="auto"/>
          <w:kern w:val="2"/>
          <w:sz w:val="32"/>
          <w:szCs w:val="32"/>
          <w:highlight w:val="none"/>
          <w:lang w:val="en-US" w:eastAsia="zh-CN" w:bidi="ar-SA"/>
        </w:rPr>
        <w:t>万元，占3.</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090670" cy="2292350"/>
            <wp:effectExtent l="0" t="0" r="5080" b="12700"/>
            <wp:docPr id="36" name="图片 36" descr="图片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6" descr="图片3"/>
                    <pic:cNvPicPr>
                      <a:picLocks noChangeAspect="true"/>
                    </pic:cNvPicPr>
                  </pic:nvPicPr>
                  <pic:blipFill>
                    <a:blip r:embed="rId10"/>
                    <a:stretch>
                      <a:fillRect/>
                    </a:stretch>
                  </pic:blipFill>
                  <pic:spPr>
                    <a:xfrm>
                      <a:off x="0" y="0"/>
                      <a:ext cx="4090670" cy="2292350"/>
                    </a:xfrm>
                    <a:prstGeom prst="rect">
                      <a:avLst/>
                    </a:prstGeom>
                  </pic:spPr>
                </pic:pic>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p>
    <w:p>
      <w:pPr>
        <w:jc w:val="center"/>
        <w:rPr>
          <w:rFonts w:hint="eastAsia" w:ascii="Times New Roman" w:hAnsi="Times New Roman" w:eastAsia="仿宋_GB2312" w:cs="仿宋_GB2312"/>
          <w:color w:val="auto"/>
          <w:sz w:val="32"/>
          <w:szCs w:val="32"/>
          <w:highlight w:val="none"/>
          <w:lang w:eastAsia="zh-CN"/>
        </w:rPr>
      </w:pP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t>图2：收入决算结构图）</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8" w:name="_Toc15377207"/>
      <w:bookmarkStart w:id="29"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8"/>
      <w:bookmarkEnd w:id="29"/>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年度本年支出合计</w:t>
      </w:r>
      <w:r>
        <w:rPr>
          <w:rFonts w:hint="eastAsia" w:eastAsia="仿宋_GB2312" w:cs="仿宋_GB2312"/>
          <w:color w:val="auto"/>
          <w:kern w:val="2"/>
          <w:sz w:val="32"/>
          <w:szCs w:val="32"/>
          <w:highlight w:val="none"/>
          <w:lang w:val="en-US" w:eastAsia="zh-CN" w:bidi="ar-SA"/>
        </w:rPr>
        <w:t>8948.86</w:t>
      </w:r>
      <w:r>
        <w:rPr>
          <w:rFonts w:hint="eastAsia" w:ascii="Times New Roman" w:hAnsi="Times New Roman" w:eastAsia="仿宋_GB2312" w:cs="仿宋_GB2312"/>
          <w:color w:val="auto"/>
          <w:kern w:val="2"/>
          <w:sz w:val="32"/>
          <w:szCs w:val="32"/>
          <w:highlight w:val="none"/>
          <w:lang w:val="en-US" w:eastAsia="zh-CN" w:bidi="ar-SA"/>
        </w:rPr>
        <w:t>万元，其中：基本支出</w:t>
      </w:r>
      <w:r>
        <w:rPr>
          <w:rFonts w:hint="eastAsia" w:eastAsia="仿宋_GB2312" w:cs="仿宋_GB2312"/>
          <w:color w:val="auto"/>
          <w:kern w:val="2"/>
          <w:sz w:val="32"/>
          <w:szCs w:val="32"/>
          <w:highlight w:val="none"/>
          <w:lang w:val="en-US" w:eastAsia="zh-CN" w:bidi="ar-SA"/>
        </w:rPr>
        <w:t>7339.08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82</w:t>
      </w:r>
      <w:r>
        <w:rPr>
          <w:rFonts w:hint="eastAsia" w:ascii="Times New Roman" w:hAnsi="Times New Roman" w:eastAsia="仿宋_GB2312" w:cs="仿宋_GB2312"/>
          <w:color w:val="auto"/>
          <w:kern w:val="2"/>
          <w:sz w:val="32"/>
          <w:szCs w:val="32"/>
          <w:highlight w:val="none"/>
          <w:lang w:val="en-US" w:eastAsia="zh-CN" w:bidi="ar-SA"/>
        </w:rPr>
        <w:t>%；项目支出</w:t>
      </w:r>
      <w:r>
        <w:rPr>
          <w:rFonts w:hint="eastAsia" w:eastAsia="仿宋_GB2312" w:cs="仿宋_GB2312"/>
          <w:color w:val="auto"/>
          <w:kern w:val="2"/>
          <w:sz w:val="32"/>
          <w:szCs w:val="32"/>
          <w:highlight w:val="none"/>
          <w:lang w:val="en-US" w:eastAsia="zh-CN" w:bidi="ar-SA"/>
        </w:rPr>
        <w:t>1609.78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090670" cy="2292350"/>
            <wp:effectExtent l="0" t="0" r="5080" b="12700"/>
            <wp:docPr id="37" name="图片 37" descr="图片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7" descr="图片4"/>
                    <pic:cNvPicPr>
                      <a:picLocks noChangeAspect="true"/>
                    </pic:cNvPicPr>
                  </pic:nvPicPr>
                  <pic:blipFill>
                    <a:blip r:embed="rId11"/>
                    <a:stretch>
                      <a:fillRect/>
                    </a:stretch>
                  </pic:blipFill>
                  <pic:spPr>
                    <a:xfrm>
                      <a:off x="0" y="0"/>
                      <a:ext cx="4090670" cy="2292350"/>
                    </a:xfrm>
                    <a:prstGeom prst="rect">
                      <a:avLst/>
                    </a:prstGeom>
                  </pic:spPr>
                </pic:pic>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p>
    <w:p>
      <w:pPr>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pPr>
        <w:pStyle w:val="15"/>
        <w:rPr>
          <w:rFonts w:hint="eastAsia"/>
          <w:lang w:eastAsia="zh-CN"/>
        </w:rPr>
      </w:pPr>
    </w:p>
    <w:p>
      <w:pPr>
        <w:spacing w:line="600" w:lineRule="exact"/>
        <w:ind w:firstLine="640" w:firstLineChars="200"/>
        <w:outlineLvl w:val="1"/>
        <w:rPr>
          <w:rStyle w:val="31"/>
          <w:rFonts w:ascii="Times New Roman" w:hAnsi="Times New Roman" w:eastAsia="黑体"/>
          <w:b w:val="0"/>
          <w:color w:val="auto"/>
          <w:highlight w:val="none"/>
        </w:rPr>
      </w:pPr>
      <w:bookmarkStart w:id="30" w:name="_Toc15377208"/>
      <w:bookmarkStart w:id="31"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30"/>
      <w:bookmarkEnd w:id="31"/>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年度财政拨款收入、支出总计均为</w:t>
      </w:r>
      <w:r>
        <w:rPr>
          <w:rFonts w:hint="eastAsia" w:eastAsia="仿宋_GB2312" w:cs="仿宋_GB2312"/>
          <w:color w:val="auto"/>
          <w:kern w:val="2"/>
          <w:sz w:val="32"/>
          <w:szCs w:val="32"/>
          <w:highlight w:val="none"/>
          <w:lang w:val="en-US" w:eastAsia="zh-CN" w:bidi="ar-SA"/>
        </w:rPr>
        <w:t>8948.86</w:t>
      </w:r>
      <w:r>
        <w:rPr>
          <w:rFonts w:hint="eastAsia" w:ascii="Times New Roman" w:hAnsi="Times New Roman" w:eastAsia="仿宋_GB2312" w:cs="仿宋_GB2312"/>
          <w:color w:val="auto"/>
          <w:kern w:val="2"/>
          <w:sz w:val="32"/>
          <w:szCs w:val="32"/>
          <w:highlight w:val="none"/>
          <w:lang w:val="en-US" w:eastAsia="zh-CN" w:bidi="ar-SA"/>
        </w:rPr>
        <w:t>万元。与202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年度相比，财政拨款收入总计、支出总计各减少135.06万元，下降1.5%。主要变动原因是2025年缩减了项目支出。</w:t>
      </w:r>
    </w:p>
    <w:p>
      <w:pPr>
        <w:spacing w:line="240" w:lineRule="auto"/>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022850" cy="2651760"/>
            <wp:effectExtent l="0" t="0" r="6350" b="15240"/>
            <wp:docPr id="38" name="图片 38" descr="图片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8" descr="图片6"/>
                    <pic:cNvPicPr>
                      <a:picLocks noChangeAspect="true"/>
                    </pic:cNvPicPr>
                  </pic:nvPicPr>
                  <pic:blipFill>
                    <a:blip r:embed="rId12"/>
                    <a:stretch>
                      <a:fillRect/>
                    </a:stretch>
                  </pic:blipFill>
                  <pic:spPr>
                    <a:xfrm>
                      <a:off x="0" y="0"/>
                      <a:ext cx="5022850" cy="2651760"/>
                    </a:xfrm>
                    <a:prstGeom prst="rect">
                      <a:avLst/>
                    </a:prstGeom>
                  </pic:spPr>
                </pic:pic>
              </a:graphicData>
            </a:graphic>
          </wp:inline>
        </w:drawing>
      </w:r>
    </w:p>
    <w:p>
      <w:pPr>
        <w:pStyle w:val="15"/>
        <w:rPr>
          <w:rFonts w:hint="eastAsia"/>
          <w:lang w:val="en-US" w:eastAsia="zh-CN"/>
        </w:rPr>
      </w:pP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31"/>
          <w:rFonts w:ascii="Times New Roman" w:hAnsi="Times New Roman" w:eastAsia="黑体"/>
          <w:b w:val="0"/>
          <w:color w:val="auto"/>
          <w:highlight w:val="none"/>
        </w:rPr>
      </w:pPr>
      <w:bookmarkStart w:id="32" w:name="_Toc15377209"/>
      <w:bookmarkStart w:id="3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32"/>
      <w:bookmarkEnd w:id="3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eastAsia="仿宋_GB2312" w:cs="仿宋_GB2312"/>
          <w:color w:val="auto"/>
          <w:kern w:val="2"/>
          <w:sz w:val="32"/>
          <w:szCs w:val="32"/>
          <w:highlight w:val="none"/>
          <w:lang w:val="en-US" w:eastAsia="zh-CN" w:bidi="ar-SA"/>
        </w:rPr>
        <w:t>8662.73</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eastAsia="仿宋_GB2312" w:cs="仿宋_GB2312"/>
          <w:color w:val="auto"/>
          <w:kern w:val="2"/>
          <w:sz w:val="32"/>
          <w:szCs w:val="32"/>
          <w:highlight w:val="none"/>
          <w:lang w:val="en-US" w:eastAsia="zh-CN" w:bidi="ar-SA"/>
        </w:rPr>
        <w:t>96.8</w:t>
      </w:r>
      <w:r>
        <w:rPr>
          <w:rFonts w:hint="eastAsia" w:ascii="Times New Roman" w:hAnsi="Times New Roman" w:eastAsia="仿宋_GB2312" w:cs="仿宋_GB2312"/>
          <w:color w:val="auto"/>
          <w:kern w:val="2"/>
          <w:sz w:val="32"/>
          <w:szCs w:val="32"/>
          <w:highlight w:val="none"/>
          <w:lang w:val="en-US" w:eastAsia="zh-CN" w:bidi="ar-SA"/>
        </w:rPr>
        <w:t>%。与202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w:t>
      </w:r>
      <w:r>
        <w:rPr>
          <w:rFonts w:hint="eastAsia" w:eastAsia="仿宋_GB2312" w:cs="仿宋_GB2312"/>
          <w:color w:val="auto"/>
          <w:kern w:val="2"/>
          <w:sz w:val="32"/>
          <w:szCs w:val="32"/>
          <w:highlight w:val="none"/>
          <w:lang w:val="en-US" w:eastAsia="zh-CN" w:bidi="ar-SA"/>
        </w:rPr>
        <w:t>减少69.28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下降0.8</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缩减了项目支出</w:t>
      </w:r>
      <w:r>
        <w:rPr>
          <w:rFonts w:hint="eastAsia" w:ascii="Times New Roman" w:hAnsi="Times New Roman" w:eastAsia="仿宋_GB2312" w:cs="仿宋_GB2312"/>
          <w:color w:val="auto"/>
          <w:kern w:val="2"/>
          <w:sz w:val="32"/>
          <w:szCs w:val="32"/>
          <w:highlight w:val="none"/>
          <w:lang w:val="en-US" w:eastAsia="zh-CN" w:bidi="ar-SA"/>
        </w:rPr>
        <w:t>。</w:t>
      </w:r>
    </w:p>
    <w:p>
      <w:pPr>
        <w:pStyle w:val="15"/>
        <w:rPr>
          <w:rFonts w:hint="eastAsia" w:ascii="仿宋_GB2312" w:hAnsi="仿宋_GB2312" w:eastAsia="仿宋_GB2312" w:cs="仿宋_GB2312"/>
          <w:color w:val="auto"/>
          <w:kern w:val="2"/>
          <w:sz w:val="32"/>
          <w:szCs w:val="32"/>
          <w:highlight w:val="none"/>
          <w:lang w:val="en-US" w:eastAsia="zh-CN" w:bidi="ar-SA"/>
        </w:rPr>
      </w:pPr>
    </w:p>
    <w:p>
      <w:pPr>
        <w:pStyle w:val="8"/>
        <w:rPr>
          <w:rFonts w:hint="eastAsia" w:ascii="仿宋_GB2312" w:hAnsi="仿宋_GB2312" w:eastAsia="仿宋_GB2312" w:cs="仿宋_GB2312"/>
          <w:color w:val="auto"/>
          <w:kern w:val="2"/>
          <w:sz w:val="32"/>
          <w:szCs w:val="32"/>
          <w:highlight w:val="none"/>
          <w:lang w:val="en-US" w:eastAsia="zh-CN" w:bidi="ar-SA"/>
        </w:rPr>
      </w:pPr>
    </w:p>
    <w:p>
      <w:pPr>
        <w:pStyle w:val="8"/>
        <w:rPr>
          <w:rFonts w:hint="eastAsia" w:ascii="仿宋_GB2312" w:hAnsi="仿宋_GB2312" w:eastAsia="仿宋_GB2312" w:cs="仿宋_GB2312"/>
          <w:color w:val="auto"/>
          <w:kern w:val="2"/>
          <w:sz w:val="32"/>
          <w:szCs w:val="32"/>
          <w:highlight w:val="none"/>
          <w:lang w:val="en-US" w:eastAsia="zh-CN" w:bidi="ar-SA"/>
        </w:rPr>
      </w:pPr>
    </w:p>
    <w:p>
      <w:pPr>
        <w:pStyle w:val="8"/>
        <w:rPr>
          <w:rFonts w:hint="eastAsia" w:ascii="仿宋_GB2312" w:hAnsi="仿宋_GB2312" w:eastAsia="仿宋_GB2312" w:cs="仿宋_GB2312"/>
          <w:color w:val="auto"/>
          <w:kern w:val="2"/>
          <w:sz w:val="32"/>
          <w:szCs w:val="32"/>
          <w:highlight w:val="none"/>
          <w:lang w:val="en-US" w:eastAsia="zh-CN" w:bidi="ar-SA"/>
        </w:rPr>
      </w:pPr>
    </w:p>
    <w:p>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083810" cy="2731135"/>
            <wp:effectExtent l="0" t="0" r="2540" b="12065"/>
            <wp:docPr id="39" name="图片 39" descr="图片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9" descr="图片7"/>
                    <pic:cNvPicPr>
                      <a:picLocks noChangeAspect="true"/>
                    </pic:cNvPicPr>
                  </pic:nvPicPr>
                  <pic:blipFill>
                    <a:blip r:embed="rId13"/>
                    <a:stretch>
                      <a:fillRect/>
                    </a:stretch>
                  </pic:blipFill>
                  <pic:spPr>
                    <a:xfrm>
                      <a:off x="0" y="0"/>
                      <a:ext cx="5083810" cy="2731135"/>
                    </a:xfrm>
                    <a:prstGeom prst="rect">
                      <a:avLst/>
                    </a:prstGeom>
                  </pic:spPr>
                </pic:pic>
              </a:graphicData>
            </a:graphic>
          </wp:inline>
        </w:drawing>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ascii="仿宋_GB2312" w:hAnsi="仿宋_GB2312" w:eastAsia="仿宋_GB2312" w:cs="仿宋_GB2312"/>
          <w:sz w:val="32"/>
          <w:szCs w:val="32"/>
          <w:lang w:val="en-US" w:eastAsia="zh-CN"/>
        </w:rPr>
        <w:t>8662.73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2.02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0.02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2415.79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27.9</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126.11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%；城乡社区支出</w:t>
      </w:r>
      <w:r>
        <w:rPr>
          <w:rFonts w:hint="eastAsia" w:eastAsia="仿宋_GB2312" w:cs="仿宋_GB2312"/>
          <w:color w:val="auto"/>
          <w:kern w:val="2"/>
          <w:sz w:val="32"/>
          <w:szCs w:val="32"/>
          <w:highlight w:val="none"/>
          <w:lang w:val="en-US" w:eastAsia="zh-CN" w:bidi="ar-SA"/>
        </w:rPr>
        <w:t>5733.06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66.2</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385.75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4.44</w:t>
      </w:r>
      <w:r>
        <w:rPr>
          <w:rFonts w:hint="eastAsia" w:ascii="Times New Roman" w:hAnsi="Times New Roman" w:eastAsia="仿宋_GB2312" w:cs="仿宋_GB2312"/>
          <w:color w:val="auto"/>
          <w:kern w:val="2"/>
          <w:sz w:val="32"/>
          <w:szCs w:val="32"/>
          <w:highlight w:val="none"/>
          <w:lang w:val="en-US" w:eastAsia="zh-CN" w:bidi="ar-SA"/>
        </w:rPr>
        <w:t>%。</w:t>
      </w:r>
    </w:p>
    <w:p>
      <w:pPr>
        <w:pStyle w:val="15"/>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15"/>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4883150" cy="2444750"/>
            <wp:effectExtent l="0" t="0" r="12700" b="12700"/>
            <wp:docPr id="41" name="图片 41" descr="图片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41" descr="图片8"/>
                    <pic:cNvPicPr>
                      <a:picLocks noChangeAspect="true"/>
                    </pic:cNvPicPr>
                  </pic:nvPicPr>
                  <pic:blipFill>
                    <a:blip r:embed="rId14"/>
                    <a:stretch>
                      <a:fillRect/>
                    </a:stretch>
                  </pic:blipFill>
                  <pic:spPr>
                    <a:xfrm>
                      <a:off x="0" y="0"/>
                      <a:ext cx="4883150" cy="2444750"/>
                    </a:xfrm>
                    <a:prstGeom prst="rect">
                      <a:avLst/>
                    </a:prstGeom>
                  </pic:spPr>
                </pic:pic>
              </a:graphicData>
            </a:graphic>
          </wp:inline>
        </w:drawing>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7" w:name="_Toc15377213"/>
      <w:bookmarkStart w:id="38" w:name="_Toc15378460"/>
      <w:bookmarkStart w:id="39" w:name="_Toc15377444"/>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年度一般公共预算财政拨款支出决算数为</w:t>
      </w:r>
      <w:r>
        <w:rPr>
          <w:rFonts w:hint="eastAsia" w:ascii="仿宋_GB2312" w:hAnsi="仿宋_GB2312" w:eastAsia="仿宋_GB2312" w:cs="仿宋_GB2312"/>
          <w:sz w:val="32"/>
          <w:szCs w:val="32"/>
          <w:lang w:val="en-US" w:eastAsia="zh-CN"/>
        </w:rPr>
        <w:t>8662.73万元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7"/>
      <w:bookmarkEnd w:id="38"/>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1.一般公共服务（类）组织事务（款）其他组织事务（项）: 支出决算为2.</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2.社会保障和就业（类）人力资源和社会保障管理事务（款）其他人力资源和社会保障管理事务支出（项）:支出决算为</w:t>
      </w:r>
      <w:r>
        <w:rPr>
          <w:rFonts w:hint="eastAsia" w:eastAsia="仿宋_GB2312" w:cs="仿宋_GB2312"/>
          <w:color w:val="auto"/>
          <w:kern w:val="2"/>
          <w:sz w:val="32"/>
          <w:szCs w:val="32"/>
          <w:highlight w:val="none"/>
          <w:lang w:val="en-US" w:eastAsia="zh-CN" w:bidi="ar-SA"/>
        </w:rPr>
        <w:t>0.72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3.社会保障和就业（类）行政事业单位养老（款）行政单位离退休（项）:支出决算为</w:t>
      </w:r>
      <w:r>
        <w:rPr>
          <w:rFonts w:hint="eastAsia" w:eastAsia="仿宋_GB2312" w:cs="仿宋_GB2312"/>
          <w:color w:val="auto"/>
          <w:kern w:val="2"/>
          <w:sz w:val="32"/>
          <w:szCs w:val="32"/>
          <w:highlight w:val="none"/>
          <w:lang w:val="en-US" w:eastAsia="zh-CN" w:bidi="ar-SA"/>
        </w:rPr>
        <w:t>158.79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4.社会保障和就业（类）行政事业单位养老（款）</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单位离退休（项）:支出决算为</w:t>
      </w:r>
      <w:r>
        <w:rPr>
          <w:rFonts w:hint="eastAsia" w:eastAsia="仿宋_GB2312" w:cs="仿宋_GB2312"/>
          <w:color w:val="auto"/>
          <w:kern w:val="2"/>
          <w:sz w:val="32"/>
          <w:szCs w:val="32"/>
          <w:highlight w:val="none"/>
          <w:lang w:val="en-US" w:eastAsia="zh-CN" w:bidi="ar-SA"/>
        </w:rPr>
        <w:t>1529.92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社会保障和就业（类）行政事业单位养老（款）机关事业单位基本养老保险缴费（项）:支出决算为</w:t>
      </w:r>
      <w:r>
        <w:rPr>
          <w:rFonts w:hint="eastAsia" w:eastAsia="仿宋_GB2312" w:cs="仿宋_GB2312"/>
          <w:color w:val="auto"/>
          <w:kern w:val="2"/>
          <w:sz w:val="32"/>
          <w:szCs w:val="32"/>
          <w:highlight w:val="none"/>
          <w:lang w:val="en-US" w:eastAsia="zh-CN" w:bidi="ar-SA"/>
        </w:rPr>
        <w:t>515.03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.社会保障和就业（类）行政事业单位养老（款）机关事业单位职业年金缴费（项）:支出决算为</w:t>
      </w:r>
      <w:r>
        <w:rPr>
          <w:rFonts w:hint="eastAsia" w:eastAsia="仿宋_GB2312" w:cs="仿宋_GB2312"/>
          <w:color w:val="auto"/>
          <w:kern w:val="2"/>
          <w:sz w:val="32"/>
          <w:szCs w:val="32"/>
          <w:highlight w:val="none"/>
          <w:lang w:val="en-US" w:eastAsia="zh-CN" w:bidi="ar-SA"/>
        </w:rPr>
        <w:t>171.01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.社会保障和就业（类）抚恤（款）死亡抚恤（项）:支出决算为</w:t>
      </w:r>
      <w:r>
        <w:rPr>
          <w:rFonts w:hint="eastAsia" w:eastAsia="仿宋_GB2312" w:cs="仿宋_GB2312"/>
          <w:color w:val="auto"/>
          <w:kern w:val="2"/>
          <w:sz w:val="32"/>
          <w:szCs w:val="32"/>
          <w:highlight w:val="none"/>
          <w:lang w:val="en-US" w:eastAsia="zh-CN" w:bidi="ar-SA"/>
        </w:rPr>
        <w:t>39.7</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8.社会保障和就业（类）社会福利（款）儿童福利（项）:支出决算为</w:t>
      </w:r>
      <w:r>
        <w:rPr>
          <w:rFonts w:hint="eastAsia" w:eastAsia="仿宋_GB2312" w:cs="仿宋_GB2312"/>
          <w:color w:val="auto"/>
          <w:kern w:val="2"/>
          <w:sz w:val="32"/>
          <w:szCs w:val="32"/>
          <w:highlight w:val="none"/>
          <w:lang w:val="en-US" w:eastAsia="zh-CN" w:bidi="ar-SA"/>
        </w:rPr>
        <w:t>0.62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9.卫生健康（类）行政事业单位医疗（款）行政单位医疗（项）:支出决算</w:t>
      </w:r>
      <w:r>
        <w:rPr>
          <w:rFonts w:hint="eastAsia" w:eastAsia="仿宋_GB2312" w:cs="仿宋_GB2312"/>
          <w:color w:val="auto"/>
          <w:kern w:val="2"/>
          <w:sz w:val="32"/>
          <w:szCs w:val="32"/>
          <w:highlight w:val="none"/>
          <w:lang w:val="en-US" w:eastAsia="zh-CN" w:bidi="ar-SA"/>
        </w:rPr>
        <w:t>48.52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10.卫生健康（类）行政事业单位医疗（款）事业单位医疗（项）:支出决算为</w:t>
      </w:r>
      <w:r>
        <w:rPr>
          <w:rFonts w:hint="eastAsia" w:eastAsia="仿宋_GB2312" w:cs="仿宋_GB2312"/>
          <w:color w:val="auto"/>
          <w:kern w:val="2"/>
          <w:sz w:val="32"/>
          <w:szCs w:val="32"/>
          <w:highlight w:val="none"/>
          <w:lang w:val="en-US" w:eastAsia="zh-CN" w:bidi="ar-SA"/>
        </w:rPr>
        <w:t>38.73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11.卫生健康（类）行政事业单位医疗（款）公务员医疗补助（项）:支出决算为</w:t>
      </w:r>
      <w:r>
        <w:rPr>
          <w:rFonts w:hint="eastAsia" w:eastAsia="仿宋_GB2312" w:cs="仿宋_GB2312"/>
          <w:color w:val="auto"/>
          <w:kern w:val="2"/>
          <w:sz w:val="32"/>
          <w:szCs w:val="32"/>
          <w:highlight w:val="none"/>
          <w:lang w:val="en-US" w:eastAsia="zh-CN" w:bidi="ar-SA"/>
        </w:rPr>
        <w:t>6.8</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12.卫生健康（类）行政事业单位医疗（款）其他行政事业单位医疗（项）:支出决算为</w:t>
      </w:r>
      <w:r>
        <w:rPr>
          <w:rFonts w:hint="eastAsia" w:eastAsia="仿宋_GB2312" w:cs="仿宋_GB2312"/>
          <w:color w:val="auto"/>
          <w:kern w:val="2"/>
          <w:sz w:val="32"/>
          <w:szCs w:val="32"/>
          <w:highlight w:val="none"/>
          <w:lang w:val="en-US" w:eastAsia="zh-CN" w:bidi="ar-SA"/>
        </w:rPr>
        <w:t>32.05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13.城乡社区（类）城乡社区管理事务（款）行政运行（项）:支出决算为</w:t>
      </w:r>
      <w:r>
        <w:rPr>
          <w:rFonts w:hint="eastAsia" w:eastAsia="仿宋_GB2312" w:cs="仿宋_GB2312"/>
          <w:color w:val="auto"/>
          <w:kern w:val="2"/>
          <w:sz w:val="32"/>
          <w:szCs w:val="32"/>
          <w:highlight w:val="none"/>
          <w:lang w:val="en-US" w:eastAsia="zh-CN" w:bidi="ar-SA"/>
        </w:rPr>
        <w:t>793.5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14.城乡社区（类）城乡社区管理事务（款）一般行政管理事务（项）:支出决算为</w:t>
      </w:r>
      <w:r>
        <w:rPr>
          <w:rFonts w:hint="eastAsia" w:eastAsia="仿宋_GB2312" w:cs="仿宋_GB2312"/>
          <w:color w:val="auto"/>
          <w:kern w:val="2"/>
          <w:sz w:val="32"/>
          <w:szCs w:val="32"/>
          <w:highlight w:val="none"/>
          <w:lang w:val="en-US" w:eastAsia="zh-CN" w:bidi="ar-SA"/>
        </w:rPr>
        <w:t>70.12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15.城乡社区（类）城乡社区管理事务（款）其他城乡社区管理事务（项）:支出决算为</w:t>
      </w:r>
      <w:r>
        <w:rPr>
          <w:rFonts w:hint="eastAsia" w:eastAsia="仿宋_GB2312" w:cs="仿宋_GB2312"/>
          <w:color w:val="auto"/>
          <w:kern w:val="2"/>
          <w:sz w:val="32"/>
          <w:szCs w:val="32"/>
          <w:highlight w:val="none"/>
          <w:lang w:val="en-US" w:eastAsia="zh-CN" w:bidi="ar-SA"/>
        </w:rPr>
        <w:t>905.87</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16.城乡社区（类）城乡社区环境卫生（款）城乡社区环境卫生（项）:支出决算为</w:t>
      </w:r>
      <w:r>
        <w:rPr>
          <w:rFonts w:hint="eastAsia" w:eastAsia="仿宋_GB2312" w:cs="仿宋_GB2312"/>
          <w:color w:val="auto"/>
          <w:kern w:val="2"/>
          <w:sz w:val="32"/>
          <w:szCs w:val="32"/>
          <w:highlight w:val="none"/>
          <w:lang w:val="en-US" w:eastAsia="zh-CN" w:bidi="ar-SA"/>
        </w:rPr>
        <w:t>3946.07</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17.城乡社区（类）</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城乡社区（款）</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城乡社区（项）:支出决算为</w:t>
      </w:r>
      <w:r>
        <w:rPr>
          <w:rFonts w:hint="eastAsia" w:eastAsia="仿宋_GB2312" w:cs="仿宋_GB2312"/>
          <w:color w:val="auto"/>
          <w:kern w:val="2"/>
          <w:sz w:val="32"/>
          <w:szCs w:val="32"/>
          <w:highlight w:val="none"/>
          <w:lang w:val="en-US" w:eastAsia="zh-CN" w:bidi="ar-SA"/>
        </w:rPr>
        <w:t>17.5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.住房保障（类）住房改革（款）住房公积金（项）:支出决算为</w:t>
      </w:r>
      <w:r>
        <w:rPr>
          <w:rFonts w:hint="eastAsia" w:eastAsia="仿宋_GB2312" w:cs="仿宋_GB2312"/>
          <w:color w:val="auto"/>
          <w:kern w:val="2"/>
          <w:sz w:val="32"/>
          <w:szCs w:val="32"/>
          <w:highlight w:val="none"/>
          <w:lang w:val="en-US" w:eastAsia="zh-CN" w:bidi="ar-SA"/>
        </w:rPr>
        <w:t>385.75</w:t>
      </w:r>
      <w:r>
        <w:rPr>
          <w:rFonts w:hint="eastAsia" w:ascii="Times New Roman" w:hAnsi="Times New Roman" w:eastAsia="仿宋_GB2312" w:cs="仿宋_GB2312"/>
          <w:color w:val="auto"/>
          <w:kern w:val="2"/>
          <w:sz w:val="32"/>
          <w:szCs w:val="32"/>
          <w:highlight w:val="none"/>
          <w:lang w:val="en-US" w:eastAsia="zh-CN" w:bidi="ar-SA"/>
        </w:rPr>
        <w:t xml:space="preserve">万元，完成预算100%，决算数等于预算数。 </w:t>
      </w:r>
    </w:p>
    <w:p>
      <w:pPr>
        <w:tabs>
          <w:tab w:val="right" w:pos="8306"/>
        </w:tabs>
        <w:spacing w:line="600" w:lineRule="exact"/>
        <w:ind w:firstLine="640"/>
        <w:outlineLvl w:val="1"/>
        <w:rPr>
          <w:rStyle w:val="31"/>
          <w:rFonts w:ascii="Times New Roman" w:hAnsi="Times New Roman"/>
          <w:color w:val="auto"/>
          <w:highlight w:val="none"/>
        </w:rPr>
      </w:pPr>
      <w:bookmarkStart w:id="40" w:name="_Toc15377214"/>
      <w:bookmarkStart w:id="41"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40"/>
      <w:bookmarkEnd w:id="41"/>
      <w:r>
        <w:rPr>
          <w:rStyle w:val="3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年度一般公共预算财政拨款基本支出</w:t>
      </w:r>
      <w:r>
        <w:rPr>
          <w:rFonts w:hint="eastAsia" w:eastAsia="仿宋_GB2312" w:cs="仿宋_GB2312"/>
          <w:color w:val="auto"/>
          <w:kern w:val="2"/>
          <w:sz w:val="32"/>
          <w:szCs w:val="32"/>
          <w:highlight w:val="none"/>
          <w:lang w:val="en-US" w:eastAsia="zh-CN" w:bidi="ar-SA"/>
        </w:rPr>
        <w:t>7339.08</w:t>
      </w:r>
      <w:r>
        <w:rPr>
          <w:rFonts w:hint="eastAsia" w:ascii="Times New Roman" w:hAnsi="Times New Roman" w:eastAsia="仿宋_GB2312" w:cs="仿宋_GB2312"/>
          <w:color w:val="auto"/>
          <w:kern w:val="2"/>
          <w:sz w:val="32"/>
          <w:szCs w:val="32"/>
          <w:highlight w:val="none"/>
          <w:lang w:val="en-US" w:eastAsia="zh-CN" w:bidi="ar-SA"/>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eastAsia="仿宋_GB2312" w:cs="仿宋_GB2312"/>
          <w:color w:val="auto"/>
          <w:kern w:val="2"/>
          <w:sz w:val="32"/>
          <w:szCs w:val="32"/>
          <w:highlight w:val="none"/>
          <w:lang w:val="en-US" w:eastAsia="zh-CN" w:bidi="ar-SA"/>
        </w:rPr>
        <w:t>6977.35</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绩效工资、机关事业单位基本养老保险缴费、职业年金缴费、职工基本医疗保险缴费、公务员医疗补助缴费、其他社会保障缴费、住房公积金、其他工资福利支出、对个人和家庭的补助、离休费、抚恤金、生活补助、医疗费补助、奖励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eastAsia="仿宋_GB2312" w:cs="仿宋_GB2312"/>
          <w:color w:val="auto"/>
          <w:kern w:val="2"/>
          <w:sz w:val="32"/>
          <w:szCs w:val="32"/>
          <w:highlight w:val="none"/>
          <w:lang w:val="en-US" w:eastAsia="zh-CN" w:bidi="ar-SA"/>
        </w:rPr>
        <w:t>361.73</w:t>
      </w:r>
      <w:r>
        <w:rPr>
          <w:rFonts w:hint="eastAsia" w:ascii="Times New Roman" w:hAnsi="Times New Roman" w:eastAsia="仿宋_GB2312" w:cs="仿宋_GB2312"/>
          <w:color w:val="auto"/>
          <w:kern w:val="2"/>
          <w:sz w:val="32"/>
          <w:szCs w:val="32"/>
          <w:highlight w:val="none"/>
          <w:lang w:val="en-US" w:eastAsia="zh-CN" w:bidi="ar-SA"/>
        </w:rPr>
        <w:t>万元，主要包括：办公费、水费、电费、邮电费、物业管理费、差旅费、维修（护）费、会议费、培训费、公务接待费、劳务费、工会经费、福利费、公务用车运行维护费、其他交通费、其他商品和服务支出、办公设备购置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31"/>
          <w:rFonts w:ascii="Times New Roman" w:hAnsi="Times New Roman" w:eastAsia="黑体"/>
          <w:b w:val="0"/>
          <w:color w:val="auto"/>
          <w:highlight w:val="none"/>
        </w:rPr>
      </w:pPr>
      <w:bookmarkStart w:id="42" w:name="_Toc15396609"/>
      <w:bookmarkStart w:id="43"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年度“三公”经费财政拨款支出决算为</w:t>
      </w:r>
      <w:r>
        <w:rPr>
          <w:rFonts w:hint="eastAsia" w:eastAsia="仿宋_GB2312" w:cs="仿宋_GB2312"/>
          <w:color w:val="auto"/>
          <w:kern w:val="2"/>
          <w:sz w:val="32"/>
          <w:szCs w:val="32"/>
          <w:highlight w:val="none"/>
          <w:lang w:val="en-US" w:eastAsia="zh-CN" w:bidi="ar-SA"/>
        </w:rPr>
        <w:t>43.8</w:t>
      </w:r>
      <w:r>
        <w:rPr>
          <w:rFonts w:hint="eastAsia" w:ascii="Times New Roman" w:hAnsi="Times New Roman" w:eastAsia="仿宋_GB2312" w:cs="仿宋_GB2312"/>
          <w:color w:val="auto"/>
          <w:kern w:val="2"/>
          <w:sz w:val="32"/>
          <w:szCs w:val="32"/>
          <w:highlight w:val="none"/>
          <w:lang w:val="en-US" w:eastAsia="zh-CN" w:bidi="ar-SA"/>
        </w:rPr>
        <w:t>万元，完成预算100%，较上年度减少</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10.2</w:t>
      </w:r>
      <w:r>
        <w:rPr>
          <w:rFonts w:hint="eastAsia" w:ascii="Times New Roman" w:hAnsi="Times New Roman" w:eastAsia="仿宋_GB2312" w:cs="仿宋_GB2312"/>
          <w:color w:val="auto"/>
          <w:kern w:val="2"/>
          <w:sz w:val="32"/>
          <w:szCs w:val="32"/>
          <w:highlight w:val="none"/>
          <w:lang w:val="en-US" w:eastAsia="zh-CN" w:bidi="ar-SA"/>
        </w:rPr>
        <w:t>%。决算数与预算数持平。</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5"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年度“三公”经费财政拨款支出决算中，因公出国（境）费支出决算0万元，占0%；公务用车购置及运行维护费支出决算</w:t>
      </w:r>
      <w:r>
        <w:rPr>
          <w:rFonts w:hint="eastAsia" w:eastAsia="仿宋_GB2312" w:cs="仿宋_GB2312"/>
          <w:color w:val="auto"/>
          <w:kern w:val="2"/>
          <w:sz w:val="32"/>
          <w:szCs w:val="32"/>
          <w:highlight w:val="none"/>
          <w:lang w:val="en-US" w:eastAsia="zh-CN" w:bidi="ar-SA"/>
        </w:rPr>
        <w:t>43.15</w:t>
      </w:r>
      <w:r>
        <w:rPr>
          <w:rFonts w:hint="eastAsia" w:ascii="Times New Roman" w:hAnsi="Times New Roman" w:eastAsia="仿宋_GB2312" w:cs="仿宋_GB2312"/>
          <w:color w:val="auto"/>
          <w:kern w:val="2"/>
          <w:sz w:val="32"/>
          <w:szCs w:val="32"/>
          <w:highlight w:val="none"/>
          <w:lang w:val="en-US" w:eastAsia="zh-CN" w:bidi="ar-SA"/>
        </w:rPr>
        <w:t>万元，占9</w:t>
      </w:r>
      <w:r>
        <w:rPr>
          <w:rFonts w:hint="eastAsia" w:eastAsia="仿宋_GB2312" w:cs="仿宋_GB2312"/>
          <w:color w:val="auto"/>
          <w:kern w:val="2"/>
          <w:sz w:val="32"/>
          <w:szCs w:val="32"/>
          <w:highlight w:val="none"/>
          <w:lang w:val="en-US" w:eastAsia="zh-CN" w:bidi="ar-SA"/>
        </w:rPr>
        <w:t>8.5</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0.66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%。具体情况如下：</w:t>
      </w:r>
      <w:r>
        <w:rPr>
          <w:rFonts w:hint="eastAsia" w:ascii="Times New Roman" w:hAnsi="Times New Roman" w:eastAsia="仿宋_GB2312" w:cs="仿宋_GB2312"/>
          <w:color w:val="auto"/>
          <w:kern w:val="2"/>
          <w:sz w:val="32"/>
          <w:szCs w:val="32"/>
          <w:highlight w:val="none"/>
          <w:lang w:val="en-US" w:eastAsia="zh-CN" w:bidi="ar-SA"/>
        </w:rPr>
        <w:br w:type="textWrapping"/>
      </w:r>
    </w:p>
    <w:p>
      <w:pPr>
        <w:pStyle w:val="15"/>
        <w:rPr>
          <w:rFonts w:hint="eastAsia" w:ascii="仿宋_GB2312" w:hAnsi="仿宋_GB2312" w:eastAsia="仿宋_GB2312" w:cs="仿宋_GB2312"/>
          <w:color w:val="auto"/>
          <w:kern w:val="2"/>
          <w:sz w:val="32"/>
          <w:szCs w:val="32"/>
          <w:highlight w:val="none"/>
          <w:lang w:val="en-US" w:eastAsia="zh-CN" w:bidi="ar-SA"/>
        </w:rPr>
      </w:pPr>
    </w:p>
    <w:p>
      <w:pPr>
        <w:pStyle w:val="8"/>
        <w:rPr>
          <w:rFonts w:hint="eastAsia" w:ascii="仿宋_GB2312" w:hAnsi="仿宋_GB2312" w:eastAsia="仿宋_GB2312" w:cs="仿宋_GB2312"/>
          <w:color w:val="auto"/>
          <w:kern w:val="2"/>
          <w:sz w:val="32"/>
          <w:szCs w:val="32"/>
          <w:highlight w:val="none"/>
          <w:lang w:val="en-US" w:eastAsia="zh-CN" w:bidi="ar-SA"/>
        </w:rPr>
      </w:pPr>
    </w:p>
    <w:p>
      <w:pPr>
        <w:pStyle w:val="8"/>
        <w:ind w:left="0" w:leftChars="0" w:firstLine="0" w:firstLineChars="0"/>
        <w:rPr>
          <w:rFonts w:hint="eastAsia" w:ascii="仿宋_GB2312" w:hAnsi="仿宋_GB2312" w:eastAsia="仿宋_GB2312" w:cs="仿宋_GB2312"/>
          <w:color w:val="auto"/>
          <w:kern w:val="2"/>
          <w:sz w:val="32"/>
          <w:szCs w:val="32"/>
          <w:highlight w:val="none"/>
          <w:lang w:val="en-US" w:eastAsia="zh-CN" w:bidi="ar-SA"/>
        </w:rPr>
      </w:pPr>
    </w:p>
    <w:p>
      <w:pPr>
        <w:pStyle w:val="15"/>
        <w:rPr>
          <w:rFonts w:hint="eastAsia"/>
          <w:lang w:val="en-US" w:eastAsia="zh-CN"/>
        </w:rPr>
      </w:pPr>
      <w:r>
        <w:rPr>
          <w:rFonts w:hint="eastAsia"/>
          <w:lang w:val="en-US" w:eastAsia="zh-CN"/>
        </w:rPr>
        <w:drawing>
          <wp:inline distT="0" distB="0" distL="114300" distR="114300">
            <wp:extent cx="4511040" cy="2261870"/>
            <wp:effectExtent l="0" t="0" r="3810" b="5080"/>
            <wp:docPr id="42" name="图片 42" descr="图片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42" descr="图片9"/>
                    <pic:cNvPicPr>
                      <a:picLocks noChangeAspect="true"/>
                    </pic:cNvPicPr>
                  </pic:nvPicPr>
                  <pic:blipFill>
                    <a:blip r:embed="rId15"/>
                    <a:stretch>
                      <a:fillRect/>
                    </a:stretch>
                  </pic:blipFill>
                  <pic:spPr>
                    <a:xfrm>
                      <a:off x="0" y="0"/>
                      <a:ext cx="4511040" cy="2261870"/>
                    </a:xfrm>
                    <a:prstGeom prst="rect">
                      <a:avLst/>
                    </a:prstGeom>
                  </pic:spPr>
                </pic:pic>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全年安排因公出国（境）团组0次，出国（境）0人。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43.15万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4.32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9.1</w:t>
      </w:r>
      <w:r>
        <w:rPr>
          <w:rFonts w:hint="eastAsia" w:ascii="Times New Roman" w:hAnsi="Times New Roman" w:eastAsia="仿宋_GB2312" w:cs="仿宋_GB2312"/>
          <w:color w:val="auto"/>
          <w:kern w:val="2"/>
          <w:sz w:val="32"/>
          <w:szCs w:val="32"/>
          <w:highlight w:val="none"/>
          <w:lang w:val="en-US" w:eastAsia="zh-CN" w:bidi="ar-SA"/>
        </w:rPr>
        <w:t>%。主要原因是严格落实过紧日子要求，严控“三公”经费支出，缩减公务用车运行费用。</w:t>
      </w:r>
    </w:p>
    <w:p>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截至2025年12月31日，单位共有公务用车28辆，其中：轿车2辆、越野车2辆、载客汽车2辆、小型客车1辆、载货汽车1辆、生产用车20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eastAsia="仿宋_GB2312" w:cs="仿宋_GB2312"/>
          <w:color w:val="auto"/>
          <w:kern w:val="2"/>
          <w:sz w:val="32"/>
          <w:szCs w:val="32"/>
          <w:highlight w:val="none"/>
          <w:lang w:val="en-US" w:eastAsia="zh-CN" w:bidi="ar-SA"/>
        </w:rPr>
        <w:t>43.15</w:t>
      </w:r>
      <w:r>
        <w:rPr>
          <w:rFonts w:hint="eastAsia" w:ascii="Times New Roman" w:hAnsi="Times New Roman" w:eastAsia="仿宋_GB2312" w:cs="仿宋_GB2312"/>
          <w:color w:val="auto"/>
          <w:kern w:val="2"/>
          <w:sz w:val="32"/>
          <w:szCs w:val="32"/>
          <w:highlight w:val="none"/>
          <w:lang w:val="en-US" w:eastAsia="zh-CN" w:bidi="ar-SA"/>
        </w:rPr>
        <w:t>万元。主要用于市容环卫、园林绿化、城管执法、燃气安全、城管执法、数字城管所需的公务用车燃料费、维修费、过路过桥费、保险费等支出。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0.66万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年度减少0.</w:t>
      </w:r>
      <w:r>
        <w:rPr>
          <w:rFonts w:hint="eastAsia" w:eastAsia="仿宋_GB2312" w:cs="仿宋_GB2312"/>
          <w:color w:val="auto"/>
          <w:kern w:val="2"/>
          <w:sz w:val="32"/>
          <w:szCs w:val="32"/>
          <w:highlight w:val="none"/>
          <w:lang w:val="en-US" w:eastAsia="zh-CN" w:bidi="ar-SA"/>
        </w:rPr>
        <w:t>67</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50.4</w:t>
      </w:r>
      <w:r>
        <w:rPr>
          <w:rFonts w:hint="eastAsia" w:ascii="Times New Roman" w:hAnsi="Times New Roman" w:eastAsia="仿宋_GB2312" w:cs="仿宋_GB2312"/>
          <w:color w:val="auto"/>
          <w:kern w:val="2"/>
          <w:sz w:val="32"/>
          <w:szCs w:val="32"/>
          <w:highlight w:val="none"/>
          <w:lang w:val="en-US" w:eastAsia="zh-CN" w:bidi="ar-SA"/>
        </w:rPr>
        <w:t>%。主要原因是严格落实过紧日子要求，严控“三公”经费支出。其中：</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eastAsia="仿宋_GB2312" w:cs="仿宋_GB2312"/>
          <w:color w:val="auto"/>
          <w:kern w:val="2"/>
          <w:sz w:val="32"/>
          <w:szCs w:val="32"/>
          <w:highlight w:val="none"/>
          <w:lang w:val="en-US" w:eastAsia="zh-CN" w:bidi="ar-SA"/>
        </w:rPr>
        <w:t>0.66</w:t>
      </w:r>
      <w:r>
        <w:rPr>
          <w:rFonts w:hint="eastAsia" w:ascii="Times New Roman" w:hAnsi="Times New Roman" w:eastAsia="仿宋_GB2312" w:cs="仿宋_GB2312"/>
          <w:color w:val="auto"/>
          <w:kern w:val="2"/>
          <w:sz w:val="32"/>
          <w:szCs w:val="32"/>
          <w:highlight w:val="none"/>
          <w:lang w:val="en-US" w:eastAsia="zh-CN" w:bidi="ar-SA"/>
        </w:rPr>
        <w:t>万元，主要用于执法改革、群众身边腐败问题</w:t>
      </w:r>
      <w:r>
        <w:rPr>
          <w:rFonts w:hint="eastAsia" w:eastAsia="仿宋_GB2312" w:cs="仿宋_GB2312"/>
          <w:color w:val="auto"/>
          <w:kern w:val="2"/>
          <w:sz w:val="32"/>
          <w:szCs w:val="32"/>
          <w:highlight w:val="none"/>
          <w:lang w:val="en-US" w:eastAsia="zh-CN" w:bidi="ar-SA"/>
        </w:rPr>
        <w:t>、城市精细化管理</w:t>
      </w:r>
      <w:r>
        <w:rPr>
          <w:rFonts w:hint="eastAsia" w:ascii="Times New Roman" w:hAnsi="Times New Roman" w:eastAsia="仿宋_GB2312" w:cs="仿宋_GB2312"/>
          <w:color w:val="auto"/>
          <w:kern w:val="2"/>
          <w:sz w:val="32"/>
          <w:szCs w:val="32"/>
          <w:highlight w:val="none"/>
          <w:lang w:val="en-US" w:eastAsia="zh-CN" w:bidi="ar-SA"/>
        </w:rPr>
        <w:t>等方面调研的用餐费。国内公务接待</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27</w:t>
      </w:r>
      <w:r>
        <w:rPr>
          <w:rFonts w:hint="eastAsia" w:ascii="Times New Roman" w:hAnsi="Times New Roman" w:eastAsia="仿宋_GB2312" w:cs="仿宋_GB2312"/>
          <w:color w:val="auto"/>
          <w:kern w:val="2"/>
          <w:sz w:val="32"/>
          <w:szCs w:val="32"/>
          <w:highlight w:val="none"/>
          <w:lang w:val="en-US" w:eastAsia="zh-CN" w:bidi="ar-SA"/>
        </w:rPr>
        <w:t>人次（不包括陪同人员），共计支出0.</w:t>
      </w:r>
      <w:r>
        <w:rPr>
          <w:rFonts w:hint="eastAsia" w:eastAsia="仿宋_GB2312" w:cs="仿宋_GB2312"/>
          <w:color w:val="auto"/>
          <w:kern w:val="2"/>
          <w:sz w:val="32"/>
          <w:szCs w:val="32"/>
          <w:highlight w:val="none"/>
          <w:lang w:val="en-US" w:eastAsia="zh-CN" w:bidi="ar-SA"/>
        </w:rPr>
        <w:t>66</w:t>
      </w:r>
      <w:r>
        <w:rPr>
          <w:rFonts w:hint="eastAsia" w:ascii="Times New Roman" w:hAnsi="Times New Roman" w:eastAsia="仿宋_GB2312" w:cs="仿宋_GB2312"/>
          <w:color w:val="auto"/>
          <w:kern w:val="2"/>
          <w:sz w:val="32"/>
          <w:szCs w:val="32"/>
          <w:highlight w:val="none"/>
          <w:lang w:val="en-US" w:eastAsia="zh-CN" w:bidi="ar-SA"/>
        </w:rPr>
        <w:t>万元，具体包括：1.接待省住建厅来攀开展住建领域“防风险、稳增长、保安全”综合调研5人工作餐支出0.12万元；2.接待住建厅调研组赴攀开展城管执法改革调研4人工作餐支出0.12万元；3.接待省住建厅调研组来攀开展深化整治群众申报不正之风和腐败问题包联指导及农房抗震加固等7人工作餐支出0.14万元</w:t>
      </w:r>
      <w:r>
        <w:rPr>
          <w:rFonts w:hint="eastAsia" w:eastAsia="仿宋_GB2312" w:cs="仿宋_GB2312"/>
          <w:color w:val="auto"/>
          <w:kern w:val="2"/>
          <w:sz w:val="32"/>
          <w:szCs w:val="32"/>
          <w:highlight w:val="none"/>
          <w:lang w:val="en-US" w:eastAsia="zh-CN" w:bidi="ar-SA"/>
        </w:rPr>
        <w:t>；4.接待沈阳市城市精细化管理服务中心赴攀枝花公园开展调研5人工作餐支出0.13万元；5.接待乐山市心连心服务中心赴12345群众服务中心学习考察6人工作餐支出0.14万元</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外事接待支出0万元。外事接待0批次，0人次，共计支出0万元。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6" w:name="_Toc15396610"/>
      <w:bookmarkStart w:id="47" w:name="_Toc15377218"/>
    </w:p>
    <w:p>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6"/>
      <w:bookmarkEnd w:id="4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年度政府性基金预算财政拨款支出</w:t>
      </w:r>
      <w:r>
        <w:rPr>
          <w:rFonts w:hint="eastAsia" w:eastAsia="仿宋_GB2312" w:cs="仿宋_GB2312"/>
          <w:color w:val="auto"/>
          <w:kern w:val="2"/>
          <w:sz w:val="32"/>
          <w:szCs w:val="32"/>
          <w:highlight w:val="none"/>
          <w:lang w:val="en-US" w:eastAsia="zh-CN" w:bidi="ar-SA"/>
        </w:rPr>
        <w:t>286.13</w:t>
      </w:r>
      <w:r>
        <w:rPr>
          <w:rFonts w:hint="eastAsia" w:ascii="Times New Roman" w:hAnsi="Times New Roman" w:eastAsia="仿宋_GB2312" w:cs="仿宋_GB2312"/>
          <w:color w:val="auto"/>
          <w:kern w:val="2"/>
          <w:sz w:val="32"/>
          <w:szCs w:val="32"/>
          <w:highlight w:val="none"/>
          <w:lang w:val="en-US" w:eastAsia="zh-CN" w:bidi="ar-SA"/>
        </w:rPr>
        <w:t>万元，占本年支出合计的3.</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%。与20</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eastAsia="仿宋_GB2312" w:cs="仿宋_GB2312"/>
          <w:color w:val="auto"/>
          <w:kern w:val="2"/>
          <w:sz w:val="32"/>
          <w:szCs w:val="32"/>
          <w:highlight w:val="none"/>
          <w:lang w:val="en-US" w:eastAsia="zh-CN" w:bidi="ar-SA"/>
        </w:rPr>
        <w:t>减少65.78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下降18.7</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减少了项目支出</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48" w:name="_Toc15396611"/>
      <w:bookmarkStart w:id="49"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8"/>
      <w:bookmarkEnd w:id="4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年度国有资本经营预算财政拨款支出0万元，占本年支出合计的0%。</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50" w:name="_Toc15396612"/>
      <w:bookmarkStart w:id="51"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50"/>
      <w:bookmarkEnd w:id="5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2" w:name="_Toc15377222"/>
      <w:r>
        <w:rPr>
          <w:rFonts w:hint="eastAsia" w:ascii="Times New Roman" w:hAnsi="Times New Roman" w:eastAsia="楷体_GB2312" w:cs="楷体_GB2312"/>
          <w:b/>
          <w:color w:val="auto"/>
          <w:sz w:val="32"/>
          <w:szCs w:val="32"/>
          <w:highlight w:val="none"/>
        </w:rPr>
        <w:t>（一）机关运行经费支出情况</w:t>
      </w:r>
      <w:bookmarkEnd w:id="5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2025年度，四川省攀枝花市城市管理行政执法局机关运行经费支出111.33万元，比2024年度减少8.07万元，降低6.8%。主要原因是严格落实过紧日子要求，缩紧机关运行经费。</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3" w:name="_Toc15377223"/>
      <w:r>
        <w:rPr>
          <w:rFonts w:hint="eastAsia" w:ascii="Times New Roman" w:hAnsi="Times New Roman" w:eastAsia="楷体_GB2312" w:cs="楷体_GB2312"/>
          <w:b/>
          <w:color w:val="auto"/>
          <w:sz w:val="32"/>
          <w:szCs w:val="32"/>
          <w:highlight w:val="none"/>
        </w:rPr>
        <w:t>（二）政府采购支出情况</w:t>
      </w:r>
      <w:bookmarkEnd w:id="5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年度，四川省攀枝花市城市管理行政执法局政府采购支出总额</w:t>
      </w:r>
      <w:r>
        <w:rPr>
          <w:rFonts w:hint="eastAsia" w:eastAsia="仿宋_GB2312" w:cs="仿宋_GB2312"/>
          <w:color w:val="auto"/>
          <w:kern w:val="2"/>
          <w:sz w:val="32"/>
          <w:szCs w:val="32"/>
          <w:highlight w:val="none"/>
          <w:lang w:val="en-US" w:eastAsia="zh-CN" w:bidi="ar-SA"/>
        </w:rPr>
        <w:t>296.41</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eastAsia="仿宋_GB2312" w:cs="仿宋_GB2312"/>
          <w:color w:val="auto"/>
          <w:kern w:val="2"/>
          <w:sz w:val="32"/>
          <w:szCs w:val="32"/>
          <w:highlight w:val="none"/>
          <w:lang w:val="en-US" w:eastAsia="zh-CN" w:bidi="ar-SA"/>
        </w:rPr>
        <w:t>11.52</w:t>
      </w:r>
      <w:r>
        <w:rPr>
          <w:rFonts w:hint="eastAsia" w:ascii="Times New Roman" w:hAnsi="Times New Roman" w:eastAsia="仿宋_GB2312" w:cs="仿宋_GB2312"/>
          <w:color w:val="auto"/>
          <w:kern w:val="2"/>
          <w:sz w:val="32"/>
          <w:szCs w:val="32"/>
          <w:highlight w:val="none"/>
          <w:lang w:val="en-US" w:eastAsia="zh-CN" w:bidi="ar-SA"/>
        </w:rPr>
        <w:t>万元、政府采购工程支出0万元、政府采购服务支出</w:t>
      </w:r>
      <w:r>
        <w:rPr>
          <w:rFonts w:hint="eastAsia" w:eastAsia="仿宋_GB2312" w:cs="仿宋_GB2312"/>
          <w:color w:val="auto"/>
          <w:kern w:val="2"/>
          <w:sz w:val="32"/>
          <w:szCs w:val="32"/>
          <w:highlight w:val="none"/>
          <w:lang w:val="en-US" w:eastAsia="zh-CN" w:bidi="ar-SA"/>
        </w:rPr>
        <w:t>284.89</w:t>
      </w:r>
      <w:r>
        <w:rPr>
          <w:rFonts w:hint="eastAsia" w:ascii="Times New Roman" w:hAnsi="Times New Roman" w:eastAsia="仿宋_GB2312" w:cs="仿宋_GB2312"/>
          <w:color w:val="auto"/>
          <w:kern w:val="2"/>
          <w:sz w:val="32"/>
          <w:szCs w:val="32"/>
          <w:highlight w:val="none"/>
          <w:lang w:val="en-US" w:eastAsia="zh-CN" w:bidi="ar-SA"/>
        </w:rPr>
        <w:t>万元。主要用于道路绿化管护、攀枝花公园和竹湖园清扫保洁</w:t>
      </w:r>
      <w:r>
        <w:rPr>
          <w:rFonts w:hint="eastAsia" w:eastAsia="仿宋_GB2312" w:cs="仿宋_GB2312"/>
          <w:color w:val="auto"/>
          <w:kern w:val="2"/>
          <w:sz w:val="32"/>
          <w:szCs w:val="32"/>
          <w:highlight w:val="none"/>
          <w:lang w:val="en-US" w:eastAsia="zh-CN" w:bidi="ar-SA"/>
        </w:rPr>
        <w:t>、办公设备采购</w:t>
      </w:r>
      <w:r>
        <w:rPr>
          <w:rFonts w:hint="eastAsia" w:ascii="Times New Roman" w:hAnsi="Times New Roman" w:eastAsia="仿宋_GB2312" w:cs="仿宋_GB2312"/>
          <w:color w:val="auto"/>
          <w:kern w:val="2"/>
          <w:sz w:val="32"/>
          <w:szCs w:val="32"/>
          <w:highlight w:val="none"/>
          <w:lang w:val="en-US" w:eastAsia="zh-CN" w:bidi="ar-SA"/>
        </w:rPr>
        <w:t>。授予中小企业合同金额</w:t>
      </w:r>
      <w:r>
        <w:rPr>
          <w:rFonts w:hint="eastAsia" w:eastAsia="仿宋_GB2312" w:cs="仿宋_GB2312"/>
          <w:color w:val="auto"/>
          <w:kern w:val="2"/>
          <w:sz w:val="32"/>
          <w:szCs w:val="32"/>
          <w:highlight w:val="none"/>
          <w:lang w:val="en-US" w:eastAsia="zh-CN" w:bidi="ar-SA"/>
        </w:rPr>
        <w:t>296.24</w:t>
      </w:r>
      <w:r>
        <w:rPr>
          <w:rFonts w:hint="eastAsia" w:ascii="Times New Roman" w:hAnsi="Times New Roman" w:eastAsia="仿宋_GB2312" w:cs="仿宋_GB2312"/>
          <w:color w:val="auto"/>
          <w:kern w:val="2"/>
          <w:sz w:val="32"/>
          <w:szCs w:val="32"/>
          <w:highlight w:val="none"/>
          <w:lang w:val="en-US" w:eastAsia="zh-CN" w:bidi="ar-SA"/>
        </w:rPr>
        <w:t>万元，占政府采购支出总额的9</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eastAsia="仿宋_GB2312" w:cs="仿宋_GB2312"/>
          <w:color w:val="auto"/>
          <w:kern w:val="2"/>
          <w:sz w:val="32"/>
          <w:szCs w:val="32"/>
          <w:highlight w:val="none"/>
          <w:lang w:val="en-US" w:eastAsia="zh-CN" w:bidi="ar-SA"/>
        </w:rPr>
        <w:t>166.04</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eastAsia="仿宋_GB2312" w:cs="仿宋_GB2312"/>
          <w:color w:val="auto"/>
          <w:kern w:val="2"/>
          <w:sz w:val="32"/>
          <w:szCs w:val="32"/>
          <w:highlight w:val="none"/>
          <w:lang w:val="en-US" w:eastAsia="zh-CN" w:bidi="ar-SA"/>
        </w:rPr>
        <w:t>56</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4" w:name="_Toc15377224"/>
      <w:r>
        <w:rPr>
          <w:rFonts w:hint="eastAsia" w:ascii="Times New Roman" w:hAnsi="Times New Roman" w:eastAsia="楷体_GB2312" w:cs="楷体_GB2312"/>
          <w:b/>
          <w:color w:val="auto"/>
          <w:sz w:val="32"/>
          <w:szCs w:val="32"/>
          <w:highlight w:val="none"/>
        </w:rPr>
        <w:t>（三）国有资产占有使用情况</w:t>
      </w:r>
      <w:bookmarkEnd w:id="5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年12月31日，四川省攀枝花市城市管理行政执法局共有车辆28辆，其中：主要负责人用车0辆、机要通信用车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特种专业技术用车16辆、</w:t>
      </w:r>
      <w:r>
        <w:rPr>
          <w:rFonts w:hint="eastAsia" w:ascii="Times New Roman" w:hAnsi="Times New Roman" w:eastAsia="仿宋_GB2312" w:cs="仿宋_GB2312"/>
          <w:color w:val="auto"/>
          <w:kern w:val="2"/>
          <w:sz w:val="32"/>
          <w:szCs w:val="32"/>
          <w:highlight w:val="none"/>
          <w:lang w:val="en-US" w:eastAsia="zh-CN" w:bidi="ar-SA"/>
        </w:rPr>
        <w:t>其他用车</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eastAsia="仿宋_GB2312" w:cs="仿宋_GB2312"/>
          <w:color w:val="auto"/>
          <w:kern w:val="2"/>
          <w:sz w:val="32"/>
          <w:szCs w:val="32"/>
          <w:highlight w:val="none"/>
          <w:lang w:val="en-US" w:eastAsia="zh-CN" w:bidi="ar-SA"/>
        </w:rPr>
        <w:t>绿化管护、巡检等工作</w:t>
      </w:r>
      <w:r>
        <w:rPr>
          <w:rFonts w:hint="eastAsia" w:ascii="Times New Roman" w:hAnsi="Times New Roman" w:eastAsia="仿宋_GB2312" w:cs="仿宋_GB2312"/>
          <w:color w:val="auto"/>
          <w:kern w:val="2"/>
          <w:sz w:val="32"/>
          <w:szCs w:val="32"/>
          <w:highlight w:val="none"/>
          <w:lang w:val="en-US" w:eastAsia="zh-CN" w:bidi="ar-SA"/>
        </w:rPr>
        <w:t>。单价100万元（含）以上设备（不含车辆）0台（套）。</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根据预算绩效管理要求，攀枝花市城市管理行政执法局在202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年度预算编制阶段，组织对</w:t>
      </w:r>
      <w:r>
        <w:rPr>
          <w:rFonts w:hint="default" w:ascii="Times New Roman" w:hAnsi="Times New Roman" w:eastAsia="仿宋_GB2312" w:cs="仿宋_GB2312"/>
          <w:color w:val="auto"/>
          <w:kern w:val="2"/>
          <w:sz w:val="32"/>
          <w:szCs w:val="32"/>
          <w:highlight w:val="none"/>
          <w:lang w:val="en-US" w:eastAsia="zh-CN" w:bidi="ar-SA"/>
        </w:rPr>
        <w:t>攀枝花市“四季花城”绿化专项规划编制</w:t>
      </w:r>
      <w:r>
        <w:rPr>
          <w:rFonts w:hint="eastAsia" w:eastAsia="仿宋_GB2312" w:cs="仿宋_GB2312"/>
          <w:color w:val="auto"/>
          <w:kern w:val="2"/>
          <w:sz w:val="32"/>
          <w:szCs w:val="32"/>
          <w:highlight w:val="none"/>
          <w:lang w:val="en-US" w:eastAsia="zh-CN" w:bidi="ar-SA"/>
        </w:rPr>
        <w:t>、生产管护费、攀枝花市第四轮数字城管信息采集及市级指挥平台业务服务外包</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个项目</w:t>
      </w:r>
      <w:r>
        <w:rPr>
          <w:rFonts w:hint="eastAsia" w:eastAsia="仿宋_GB2312" w:cs="仿宋_GB2312"/>
          <w:color w:val="auto"/>
          <w:kern w:val="2"/>
          <w:sz w:val="32"/>
          <w:szCs w:val="32"/>
          <w:highlight w:val="none"/>
          <w:lang w:val="en-US" w:eastAsia="zh-CN" w:bidi="ar-SA"/>
        </w:rPr>
        <w:t>涉及金额1394.05万元</w:t>
      </w:r>
      <w:r>
        <w:rPr>
          <w:rFonts w:hint="eastAsia" w:ascii="Times New Roman" w:hAnsi="Times New Roman" w:eastAsia="仿宋_GB2312" w:cs="仿宋_GB2312"/>
          <w:color w:val="auto"/>
          <w:kern w:val="2"/>
          <w:sz w:val="32"/>
          <w:szCs w:val="32"/>
          <w:highlight w:val="none"/>
          <w:lang w:val="en-US" w:eastAsia="zh-CN" w:bidi="ar-SA"/>
        </w:rPr>
        <w:t>开展了预算事前绩效评估，对</w:t>
      </w:r>
      <w:r>
        <w:rPr>
          <w:rFonts w:hint="eastAsia"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年度一般公共预算、政府性基金预算等全面开展绩效自评，形成攀枝花市城市管理行政执法局部门整体（含部门预算项目）绩效自评报告、办公楼维修加固工程</w:t>
      </w:r>
      <w:r>
        <w:rPr>
          <w:rFonts w:hint="eastAsia" w:eastAsia="仿宋_GB2312" w:cs="仿宋_GB2312"/>
          <w:color w:val="auto"/>
          <w:kern w:val="2"/>
          <w:sz w:val="32"/>
          <w:szCs w:val="32"/>
          <w:highlight w:val="none"/>
          <w:lang w:val="en-US" w:eastAsia="zh-CN" w:bidi="ar-SA"/>
        </w:rPr>
        <w:t>、“三位一体”防灭火专项建设项目、攀枝花市第四轮数字城管信息采集及市级指挥平台业务服务外包项目</w:t>
      </w:r>
      <w:r>
        <w:rPr>
          <w:rFonts w:hint="eastAsia" w:ascii="Times New Roman" w:hAnsi="Times New Roman" w:eastAsia="仿宋_GB2312" w:cs="仿宋_GB2312"/>
          <w:color w:val="auto"/>
          <w:kern w:val="2"/>
          <w:sz w:val="32"/>
          <w:szCs w:val="32"/>
          <w:highlight w:val="none"/>
          <w:lang w:val="en-US" w:eastAsia="zh-CN" w:bidi="ar-SA"/>
        </w:rPr>
        <w:t>等专项预算项目绩效自评报告，其中，攀枝花市城市管理行政执法局部门整体（含部门预算项目）绩效自评得分为</w:t>
      </w:r>
      <w:r>
        <w:rPr>
          <w:rFonts w:hint="eastAsia" w:eastAsia="仿宋_GB2312" w:cs="仿宋_GB2312"/>
          <w:color w:val="auto"/>
          <w:kern w:val="2"/>
          <w:sz w:val="32"/>
          <w:szCs w:val="32"/>
          <w:highlight w:val="none"/>
          <w:lang w:val="en-US" w:eastAsia="zh-CN" w:bidi="ar-SA"/>
        </w:rPr>
        <w:t>94.58</w:t>
      </w:r>
      <w:r>
        <w:rPr>
          <w:rFonts w:hint="eastAsia" w:ascii="Times New Roman" w:hAnsi="Times New Roman" w:eastAsia="仿宋_GB2312" w:cs="仿宋_GB2312"/>
          <w:color w:val="auto"/>
          <w:kern w:val="2"/>
          <w:sz w:val="32"/>
          <w:szCs w:val="32"/>
          <w:highlight w:val="none"/>
          <w:lang w:val="en-US" w:eastAsia="zh-CN" w:bidi="ar-SA"/>
        </w:rPr>
        <w:t>分，绩效自评综述我单位绩效目标编制要素完整、绩效指标做到了细化、量化，单个数量指标实际完成达到预期指标基本完成了既定的绩效目标，较全面的实现了预算和绩效管理一体化，整体支出管理水平得到提升。金沙江大道东段等12条主干道绿化养护专项预算项目绩效自评得分</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通过对金沙江大道东段等12条主干道绿化养护项目，环境卫生标准提升度明显，进一步为广大居民营造了干净、舒适的环境，促进了社会和谐，改善城市绿化生态环境，提升城市品位，城市绿化景观对降温增湿、改善光照、净化空气、降低噪音有一定生态效果，有助于改善全市生态环境。不仅提升了环境卫生质量，还在城市可持续发展中发挥着重要作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攀枝花市第四轮数字城管信息采集及市级指挥平台业务服务外包项目自评得分为96分，绩效自评综述：项目通过信息采集业务及指挥大厅调度工作，实现对城市各类问题时时监管，为市民群众提供更方便、更快捷的综合性服务，同时为创建文明城市和提升城市精细化管理水平发挥更大的技术支撑作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pStyle w:val="15"/>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pStyle w:val="8"/>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5" w:name="_Toc15396613"/>
      <w:bookmarkStart w:id="56"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5"/>
      <w:bookmarkEnd w:id="56"/>
    </w:p>
    <w:p>
      <w:pPr>
        <w:spacing w:line="600" w:lineRule="exact"/>
        <w:jc w:val="left"/>
        <w:rPr>
          <w:rFonts w:ascii="Times New Roman" w:hAnsi="Times New Roman"/>
          <w:b/>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bookmarkStart w:id="57"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2.一般公共</w:t>
      </w:r>
      <w:r>
        <w:rPr>
          <w:rFonts w:hint="eastAsia" w:eastAsia="仿宋_GB2312" w:cs="仿宋_GB2312"/>
          <w:color w:val="auto"/>
          <w:kern w:val="2"/>
          <w:sz w:val="32"/>
          <w:szCs w:val="32"/>
          <w:highlight w:val="none"/>
          <w:lang w:val="en-US" w:eastAsia="zh-CN" w:bidi="ar-SA"/>
        </w:rPr>
        <w:t>服务</w:t>
      </w:r>
      <w:r>
        <w:rPr>
          <w:rFonts w:hint="eastAsia" w:ascii="Times New Roman" w:hAnsi="Times New Roman" w:eastAsia="仿宋_GB2312" w:cs="仿宋_GB2312"/>
          <w:color w:val="auto"/>
          <w:kern w:val="2"/>
          <w:sz w:val="32"/>
          <w:szCs w:val="32"/>
          <w:highlight w:val="none"/>
          <w:lang w:val="en-US" w:eastAsia="zh-CN" w:bidi="ar-SA"/>
        </w:rPr>
        <w:t>（类）组织事务（款）其他组织事务支出（项）：指反映其他用于中国共产党组织部门的事务支出。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hint="eastAsia" w:eastAsia="仿宋_GB2312" w:cs="仿宋_GB2312"/>
          <w:color w:val="auto"/>
          <w:kern w:val="2"/>
          <w:sz w:val="32"/>
          <w:szCs w:val="32"/>
          <w:highlight w:val="none"/>
          <w:lang w:val="en-US" w:eastAsia="zh-CN" w:bidi="ar-SA"/>
        </w:rPr>
        <w:t>人力资源和社会保障管理事务（款）其他人力资源和社会保障管理事务（项）：指反映其他用于人力资源和社会保障管理事务方面的支出。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4.社会保障和就业（类）行政事业单位养老（款）行政单位离退休（项）:指反映行政单位（包括实行公务员管理的事业单位）开支的离退休经费。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5.社会保障和就业（类）行政事业单位养老支出（款）事业单位离退休（项）：指事业单位支出的离退休经费。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6.社会保障和就业（类）行政事业单位养老（款）机关事业单位基本养老保险缴费（项）:指机关事业单位实施养老保险制度由单位缴纳的基本养老保险费支出。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7.社会保障和就业（类）行政事业单位养老（款）机关事业单位职业年金缴费（项）:指机关事业单位实施养老保险制度由单位实际缴纳的职业年金支出（含职业年金补记支出）。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8.社会保障和就业（类）抚恤（款）死亡抚恤（项）：指用于烈士和牺牲、病故人员家属的一次性和定期抚恤金、丧葬补助费以及烈士褒扬金。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9.社会保障和就业（类）社会福利（款）儿童福利（项）:指对儿童提供福利服务方面的支出。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卫生健康（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11.卫生健康（类）行政事业单位医疗（款）</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单位医疗（项）:指财政部门安排的事业单位基本医疗保险缴费经费，未参加医疗保险的</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卫生健康（类）行政事业单位医疗（款）公务员医疗补助（项）:指财政部门安排的公务员医疗补助经费。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.卫生健康（类）行政事业单位医疗（款）其他行政事业单位医疗（项）:指除行政单位医疗和公务员医疗补助以外的其他用于行政事业单位医疗方面的支出。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14.城乡社区（类）城乡社区管理事务（款）行政运行（项）:指行政单位（包括实行公务员管理的事业单位）的基本支出。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15.城乡社区（类）城乡社区管理事务（款）一般行政管理事务（项）:行政单位（包括实行公务中管理的事业单位）未单独设置项级科目的其他项目支出。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16.城乡社区（类）城乡社区管理事务（款）其他城乡社区管理事务（项）:指行政单位（包括实行公务员管理的事业单位）除行政运行和一般行政管理事务外的其他支出。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17.城乡社区（类）城乡社区环境卫生（款）城乡社区环境卫生（项）:指城乡社区道路清扫、垃圾清运与处理、公厕建设与维护、园林绿化等方面的支出。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城乡社区（类）</w:t>
      </w:r>
      <w:r>
        <w:rPr>
          <w:rFonts w:hint="eastAsia" w:eastAsia="仿宋_GB2312" w:cs="仿宋_GB2312"/>
          <w:color w:val="auto"/>
          <w:kern w:val="2"/>
          <w:sz w:val="32"/>
          <w:szCs w:val="32"/>
          <w:highlight w:val="none"/>
          <w:lang w:val="en-US" w:eastAsia="zh-CN" w:bidi="ar-SA"/>
        </w:rPr>
        <w:t>国有土地使用权出让收入安排（款）城市建设（项）：指用于完善城市功能、改善人居环境、提升综合承载能力的专项支出。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城乡社区（类）</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城乡社区（款）</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城乡社区（项）:</w:t>
      </w:r>
      <w:r>
        <w:rPr>
          <w:rFonts w:hint="eastAsia" w:eastAsia="仿宋_GB2312" w:cs="仿宋_GB2312"/>
          <w:color w:val="auto"/>
          <w:kern w:val="2"/>
          <w:sz w:val="32"/>
          <w:szCs w:val="32"/>
          <w:highlight w:val="none"/>
          <w:lang w:val="en-US" w:eastAsia="zh-CN" w:bidi="ar-SA"/>
        </w:rPr>
        <w:t>指其他用于城乡社区方面的支出。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住房保障（类）住房改革（款）住房公积金（项）:指行政事业单位按人力资源和社会保障部、财政部规定的基本工资和津贴补贴以及规定比例为职工缴纳的住房公积金。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.其他支出（类）其他政府性基金及对应专项债务收入安排（款）其他政府性基金债务收入安排（项）：指用未纳入特定专项债券科目的政府性基金债务收入安排的支出。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 xml:space="preserve">0.项目支出：指在基本支出之外为完成特定行政任务和事业发展目标所发生的支出。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.机关运行经费：为保障行政单位（含参照公务员法管理的事业单位）运行用于购买货物和服务的各项资金，包括办公费、邮电费、差旅费、福利费、办公用房水电费、公务用车运行维护费以及其他费用。</w:t>
      </w:r>
      <w:r>
        <w:rPr>
          <w:rFonts w:hint="eastAsia" w:ascii="Times New Roman" w:hAnsi="Times New Roman" w:eastAsia="仿宋_GB2312" w:cs="仿宋_GB2312"/>
          <w:color w:val="auto"/>
          <w:kern w:val="2"/>
          <w:sz w:val="32"/>
          <w:szCs w:val="32"/>
          <w:highlight w:val="none"/>
          <w:lang w:val="en-US" w:eastAsia="zh-CN" w:bidi="ar-SA"/>
        </w:rPr>
        <w:br w:type="page"/>
      </w:r>
      <w:bookmarkStart w:id="58" w:name="_Toc15396614"/>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30"/>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8"/>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78" w:lineRule="exact"/>
        <w:ind w:left="0" w:right="0" w:firstLine="0"/>
        <w:jc w:val="center"/>
        <w:outlineLvl w:val="9"/>
        <w:rPr>
          <w:rFonts w:hint="default" w:ascii="Times New Roman" w:hAnsi="Times New Roman" w:eastAsia="方正小标宋简体" w:cs="Times New Roman"/>
          <w:b w:val="0"/>
          <w:bCs/>
          <w:caps w:val="0"/>
          <w:color w:val="auto"/>
          <w:sz w:val="44"/>
          <w:szCs w:val="44"/>
          <w:shd w:val="clear" w:fill="FFFFFF"/>
          <w:vertAlign w:val="baseline"/>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78" w:lineRule="exact"/>
        <w:ind w:left="0" w:right="0" w:firstLine="0"/>
        <w:jc w:val="center"/>
        <w:outlineLvl w:val="9"/>
        <w:rPr>
          <w:rFonts w:hint="eastAsia" w:ascii="Times New Roman" w:hAnsi="方正小标宋简体" w:eastAsia="方正小标宋简体" w:cs="Times New Roman"/>
          <w:b w:val="0"/>
          <w:bCs/>
          <w:caps w:val="0"/>
          <w:color w:val="auto"/>
          <w:sz w:val="44"/>
          <w:szCs w:val="44"/>
          <w:shd w:val="clear" w:fill="FFFFFF"/>
          <w:vertAlign w:val="baseline"/>
        </w:rPr>
      </w:pPr>
      <w:r>
        <w:rPr>
          <w:rFonts w:hint="eastAsia" w:ascii="Times New Roman" w:hAnsi="方正小标宋简体" w:eastAsia="方正小标宋简体" w:cs="Times New Roman"/>
          <w:b w:val="0"/>
          <w:bCs/>
          <w:caps w:val="0"/>
          <w:color w:val="auto"/>
          <w:kern w:val="2"/>
          <w:sz w:val="44"/>
          <w:szCs w:val="44"/>
          <w:shd w:val="clear" w:fill="FFFFFF"/>
          <w:vertAlign w:val="baseline"/>
          <w:lang w:val="en-US" w:eastAsia="zh-CN" w:bidi="ar"/>
        </w:rPr>
        <w:t>部门预算绩效评价报告</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78" w:lineRule="exact"/>
        <w:ind w:left="0" w:right="0" w:firstLine="0"/>
        <w:jc w:val="center"/>
        <w:outlineLvl w:val="9"/>
        <w:rPr>
          <w:rFonts w:hint="default" w:ascii="Times New Roman" w:hAnsi="Times New Roman" w:eastAsia="仿宋_GB2312" w:cs="Times New Roman"/>
          <w:caps w:val="0"/>
          <w:color w:val="auto"/>
          <w:sz w:val="32"/>
          <w:szCs w:val="32"/>
          <w:shd w:val="clear" w:fill="FFFFFF"/>
          <w:vertAlign w:val="baseli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一、部门（单位）基本情况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（一）机构组成。</w:t>
      </w:r>
      <w:r>
        <w:rPr>
          <w:rFonts w:hint="eastAsia" w:ascii="Times New Roman" w:hAnsi="Times New Roman" w:eastAsia="仿宋_GB2312" w:cs="仿宋_GB2312"/>
          <w:color w:val="auto"/>
          <w:kern w:val="2"/>
          <w:sz w:val="32"/>
          <w:szCs w:val="32"/>
          <w:highlight w:val="none"/>
          <w:lang w:val="en-US" w:eastAsia="zh-CN" w:bidi="ar-SA"/>
        </w:rPr>
        <w:t>攀枝花市城市管理行政执法局是市财政全额拨款的行政单位，下属二级预算单位2个，分别为：攀枝花市园林绿化服务中心、攀枝花市</w:t>
      </w:r>
      <w:r>
        <w:rPr>
          <w:rFonts w:hint="eastAsia" w:eastAsia="仿宋_GB2312" w:cs="仿宋_GB2312"/>
          <w:color w:val="auto"/>
          <w:kern w:val="2"/>
          <w:sz w:val="32"/>
          <w:szCs w:val="32"/>
          <w:highlight w:val="none"/>
          <w:lang w:val="en-US" w:eastAsia="zh-CN" w:bidi="ar-SA"/>
        </w:rPr>
        <w:t>12345群众服务</w:t>
      </w:r>
      <w:r>
        <w:rPr>
          <w:rFonts w:hint="eastAsia" w:ascii="Times New Roman" w:hAnsi="Times New Roman" w:eastAsia="仿宋_GB2312" w:cs="仿宋_GB2312"/>
          <w:color w:val="auto"/>
          <w:kern w:val="2"/>
          <w:sz w:val="32"/>
          <w:szCs w:val="32"/>
          <w:highlight w:val="none"/>
          <w:lang w:val="en-US" w:eastAsia="zh-CN" w:bidi="ar-SA"/>
        </w:rPr>
        <w:t>中心。设办公室、政策法规科（行政审批科）、行政执法监督科、燃气管理和安全科、环境卫生管理科、城市容貌和精细化管理科、城市绿化和园林管理科、计划财务和审计科、劳动人事和离退休管理科、机关党委办公室10个内设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（二）机构职能。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（1）负责拟订城市管理地方性法规、规章草案。拟订全市城市管理发展规划、实施计划、管理标准等规范性文件。会同相关部门拟订城市管理工作目标并组织实施。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（2）负责城市管理的行政执法工作。集中行使市容环境卫生管理、城市绿化管理方面的行政处罚权。根据省、市部署和要求，推进城市执法体制改革、改进城市管理工作。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（3）负责城市市容环境卫生综合管理工作。依法对城市市容环境卫生实施监督检查和考核。负责环境卫生作业企业的行业管理。负责城市建城区户外广告和招牌的监督管理。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负责全市城市绿化监督管理工作。负责对全市城市园林绿化行业的管理、业务指导、培训、督促和检查。负责城市园林绿化管理标准和城市园林绿化建设工程有关管理规范的制定。负责城市建成区城市主干道道路两侧的行道树及其附属公共绿地的管理。负责城市规划区古树名木的保护管理工作。负责对权限内园林绿化企业监督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（5）负责燃气行业综合管理工作。拟订燃气行业发展规划并组织实施。监督指导燃气经营单位落实行业规范、标准。监督指导燃气工程建设及备案工作。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（6）负责推进数字化城市管理和信息化建设，负责民生服务热线12345、12319的建设和管理工作。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（7）拟订城市管理工作经费的中长期计划和年度计划，会同有关部门对使用情况实施监督管理。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（8）参与城市新建、改扩建项目中涉及市容环境卫生、园林绿化的方案审查、综合验收。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（9）承担职责范围内的安全生产和职业健康、生态环境保护、审批服务便民化等工作。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（10）完成市委、市政府交办的其他任务。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（三）人员概况。</w:t>
      </w:r>
      <w:r>
        <w:rPr>
          <w:rFonts w:hint="eastAsia" w:ascii="Times New Roman" w:hAnsi="Times New Roman" w:eastAsia="仿宋_GB2312" w:cs="仿宋_GB2312"/>
          <w:color w:val="auto"/>
          <w:kern w:val="2"/>
          <w:sz w:val="32"/>
          <w:szCs w:val="32"/>
          <w:highlight w:val="none"/>
          <w:lang w:val="en-US" w:eastAsia="zh-CN" w:bidi="ar-SA"/>
        </w:rPr>
        <w:t>截至2025年末，市城管执法局年末实有行政编制22个，参照公务员管理人员编制16个、工勤编制4个，事业编制296个，年末实有人数259人。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二、部门资金收支情况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（一）收入情况。</w:t>
      </w:r>
      <w:r>
        <w:rPr>
          <w:rFonts w:hint="eastAsia" w:ascii="Times New Roman" w:hAnsi="Times New Roman" w:eastAsia="仿宋_GB2312" w:cs="仿宋_GB2312"/>
          <w:color w:val="auto"/>
          <w:kern w:val="2"/>
          <w:sz w:val="32"/>
          <w:szCs w:val="32"/>
          <w:highlight w:val="none"/>
          <w:lang w:val="en-US" w:eastAsia="zh-CN" w:bidi="ar-SA"/>
        </w:rPr>
        <w:t>攀枝花市城市管理行政执法局2025年年初预算收入7233.57万元，其中：基本支出6620.30万元，项目支出613.27万元；决算报表收入8948.86万元，其中：基本支出7339.08万元，项目支出1609.78万元。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（二）支出情况。</w:t>
      </w:r>
      <w:r>
        <w:rPr>
          <w:rFonts w:hint="eastAsia" w:ascii="Times New Roman" w:hAnsi="Times New Roman" w:eastAsia="仿宋_GB2312" w:cs="仿宋_GB2312"/>
          <w:color w:val="auto"/>
          <w:kern w:val="2"/>
          <w:sz w:val="32"/>
          <w:szCs w:val="32"/>
          <w:highlight w:val="none"/>
          <w:lang w:val="en-US" w:eastAsia="zh-CN" w:bidi="ar-SA"/>
        </w:rPr>
        <w:t>攀枝花市城市管理行政执法局2025年年初预算支出7233.57万元，其中：基本支出6620.30万元，项目支出613.27万元；决算报表支出8948.86万元，其中：基本支出7339.08万元，项目支出1609.78万元。基本支出主要用于发放职工工资，缴纳职工基本养老保险、社会保障费、住房公积金，保障机构正常运行及为死亡职工发放丧葬抚恤金等；项目支出主要用于生产管护，绿化养护、数字城管信息采集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（三）</w:t>
      </w:r>
      <w:r>
        <w:rPr>
          <w:rFonts w:hint="eastAsia" w:ascii="Times New Roman" w:hAnsi="Times New Roman" w:eastAsia="仿宋_GB2312" w:cs="仿宋_GB2312"/>
          <w:color w:val="auto"/>
          <w:kern w:val="2"/>
          <w:sz w:val="32"/>
          <w:szCs w:val="32"/>
          <w:highlight w:val="none"/>
          <w:lang w:val="en-US" w:eastAsia="zh-CN" w:bidi="ar-SA"/>
        </w:rPr>
        <w:t>结余分配和结转结余情况。攀枝花市城市管理行政执法局2025年决算报表无结转结余情况。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三、部门预算绩效分析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（一）部门预算总体绩效分析。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①在城市管理上下功夫。持续抓好12345热线系统升级改造工作，优化提升城市“啄木鸟”工程。通过优化系统、建立社情民意诉求数据库等方式，实现 12345热线与基层治理同步推动、深度融合。把12345热线打造成为高效便捷的沟通平台，协同治理的枢纽平台，助推城市管理精细化水平提升，营造全社会共同参与城市管理的良好氛围。</w:t>
      </w:r>
      <w:r>
        <w:rPr>
          <w:rFonts w:hint="eastAsia" w:ascii="Times New Roman" w:hAnsi="Times New Roman" w:eastAsia="仿宋_GB2312" w:cs="仿宋_GB2312"/>
          <w:color w:val="auto"/>
          <w:kern w:val="2"/>
          <w:sz w:val="32"/>
          <w:szCs w:val="32"/>
          <w:highlight w:val="none"/>
          <w:lang w:val="en-US" w:eastAsia="zh-CN" w:bidi="ar-SA"/>
        </w:rPr>
        <w:t>2025年开展党建引领接诉即办省级试点，全面整合各类非紧急政务服务热线，实现“一号通”便民服务工作模式，派单时间缩至3.5分钟，受理各类问题2.5万余件，按时办结率100%，满意率97.35%；拓展“热线+”工作，1769户商家入驻平台，提供“一站式”便捷生活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在气化全攀上出实招。抢推燃气管网更新改造和天然气置换，力争再争取上级资金超3亿元，推进燃气管网新建、改造超150公里，天然气置换完成2万户；实现米易管道气工程、红格管道气工程建成投运、储气调峰项目、气化西区管道气工程正式开工，东区江北片区天然气源稳定充足。</w:t>
      </w:r>
      <w:r>
        <w:rPr>
          <w:rFonts w:hint="eastAsia" w:ascii="Times New Roman" w:hAnsi="Times New Roman" w:eastAsia="仿宋_GB2312" w:cs="仿宋_GB2312"/>
          <w:color w:val="auto"/>
          <w:kern w:val="2"/>
          <w:sz w:val="32"/>
          <w:szCs w:val="32"/>
          <w:highlight w:val="none"/>
          <w:lang w:val="en-US" w:eastAsia="zh-CN" w:bidi="ar-SA"/>
        </w:rPr>
        <w:t>2025年</w:t>
      </w:r>
      <w:r>
        <w:rPr>
          <w:rFonts w:hint="eastAsia" w:ascii="Times New Roman" w:hAnsi="Times New Roman" w:eastAsia="仿宋_GB2312" w:cs="仿宋_GB2312"/>
          <w:color w:val="auto"/>
          <w:kern w:val="2"/>
          <w:sz w:val="32"/>
          <w:szCs w:val="32"/>
          <w:highlight w:val="none"/>
          <w:lang w:val="zh-CN" w:eastAsia="zh-CN" w:bidi="ar-SA"/>
        </w:rPr>
        <w:t>完成老化燃气管道改造151.5公里，天然气置换2.03万户，申报燃气领域项目9个，获得国家资金支持约0.94亿元，盐边新县城实现管道天然气通达。启动攀枝花市LNG储气调峰建设工程、东区至西区供气工程、格里坪园区燃气管网工程等重点项目，快速推进城市支线进程并联成网，实现全市各中心城区天然气全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在城市花化上出成效。全面做好“花”文章，继续督导各县区、市级有关部门，对标花城打造年度计划，多形式促绿量增加。结合“国球进公园”活动，完善公园（游园）休闲设施；加快推进攀枝花公园改造提升，不断做优城市绿心多元价值。</w:t>
      </w:r>
      <w:r>
        <w:rPr>
          <w:rFonts w:hint="eastAsia" w:ascii="Times New Roman" w:hAnsi="Times New Roman" w:eastAsia="仿宋_GB2312" w:cs="仿宋_GB2312"/>
          <w:color w:val="auto"/>
          <w:kern w:val="2"/>
          <w:sz w:val="32"/>
          <w:szCs w:val="32"/>
          <w:highlight w:val="none"/>
          <w:lang w:val="en-US" w:eastAsia="zh-CN" w:bidi="ar-SA"/>
        </w:rPr>
        <w:t>2025年</w:t>
      </w:r>
      <w:r>
        <w:rPr>
          <w:rFonts w:hint="eastAsia" w:ascii="Times New Roman" w:hAnsi="Times New Roman" w:eastAsia="仿宋_GB2312" w:cs="仿宋_GB2312"/>
          <w:color w:val="auto"/>
          <w:kern w:val="2"/>
          <w:sz w:val="32"/>
          <w:szCs w:val="32"/>
          <w:highlight w:val="none"/>
          <w:lang w:val="zh-CN" w:eastAsia="zh-CN" w:bidi="ar-SA"/>
        </w:rPr>
        <w:t>新建和改造24个口袋公园，完成2个“国球”进公园项目、8条城市主干道绿化整治项目，栽植各类苗木6.72万株，城市建成区绿化覆盖率已达到43%以上，攀枝花公园新引进动物种类29种298只，提升城市空间品质。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④在垃圾分类上再加力。推动生活垃圾分类法治化进程，推进生活垃圾分类地方立法和政府规章制定工作，制订《攀枝花市城市建筑垃圾管理规定》，提高建筑垃圾综合利用率。以“百村示范、全域整治”行动为载体，持续完善农村生活垃圾收运设施设备，推动农村生活垃圾源头分类和资源化利用。制定攀枝花市城市公厕升级改造方案，对亟待改建、整修的现有旧厕、危厕逐步进行整修或改建。</w:t>
      </w:r>
      <w:r>
        <w:rPr>
          <w:rFonts w:hint="eastAsia" w:ascii="Times New Roman" w:hAnsi="Times New Roman" w:eastAsia="仿宋_GB2312" w:cs="仿宋_GB2312"/>
          <w:color w:val="auto"/>
          <w:kern w:val="2"/>
          <w:sz w:val="32"/>
          <w:szCs w:val="32"/>
          <w:highlight w:val="none"/>
          <w:lang w:val="en-US" w:eastAsia="zh-CN" w:bidi="ar-SA"/>
        </w:rPr>
        <w:t>2025年</w:t>
      </w:r>
      <w:r>
        <w:rPr>
          <w:rFonts w:hint="default" w:ascii="Times New Roman" w:hAnsi="Times New Roman" w:eastAsia="仿宋_GB2312" w:cs="仿宋_GB2312"/>
          <w:color w:val="auto"/>
          <w:kern w:val="2"/>
          <w:sz w:val="32"/>
          <w:szCs w:val="32"/>
          <w:highlight w:val="none"/>
          <w:lang w:val="en-US" w:eastAsia="zh-CN" w:bidi="ar-SA"/>
        </w:rPr>
        <w:t>新建城市公厕6座，升级改造81座公厕、生活垃圾分类收集点610个，全市农村生活垃圾收运处置覆盖率100%，城区生活垃圾分类回收利用率40%，资源化利用率85%。</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以上核心职能目标基本按年初制定的计划顺利完成，部分指标年初未制定较为详细的数据，但均按照年初制定的方向完成相关任务，效果较好。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预算管理。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①预算编制质量：攀枝花市城市管理行政执法局202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年财政拨款预算偏离度为</w:t>
      </w:r>
      <w:r>
        <w:rPr>
          <w:rFonts w:hint="eastAsia" w:ascii="Times New Roman" w:hAnsi="Times New Roman" w:eastAsia="仿宋_GB2312" w:cs="仿宋_GB2312"/>
          <w:color w:val="auto"/>
          <w:kern w:val="2"/>
          <w:sz w:val="32"/>
          <w:szCs w:val="32"/>
          <w:highlight w:val="none"/>
          <w:lang w:val="en-US" w:eastAsia="zh-CN" w:bidi="ar-SA"/>
        </w:rPr>
        <w:t>23.71</w:t>
      </w:r>
      <w:r>
        <w:rPr>
          <w:rFonts w:hint="eastAsia" w:ascii="Times New Roman" w:hAnsi="Times New Roman" w:eastAsia="仿宋_GB2312" w:cs="仿宋_GB2312"/>
          <w:color w:val="auto"/>
          <w:kern w:val="2"/>
          <w:sz w:val="32"/>
          <w:szCs w:val="32"/>
          <w:highlight w:val="none"/>
          <w:lang w:val="zh-CN" w:eastAsia="zh-CN" w:bidi="ar-SA"/>
        </w:rPr>
        <w:t>%，资源配置预算偏离度为</w:t>
      </w:r>
      <w:r>
        <w:rPr>
          <w:rFonts w:hint="eastAsia" w:ascii="Times New Roman" w:hAnsi="Times New Roman" w:eastAsia="仿宋_GB2312" w:cs="仿宋_GB2312"/>
          <w:color w:val="auto"/>
          <w:kern w:val="2"/>
          <w:sz w:val="32"/>
          <w:szCs w:val="32"/>
          <w:highlight w:val="none"/>
          <w:lang w:val="en-US" w:eastAsia="zh-CN" w:bidi="ar-SA"/>
        </w:rPr>
        <w:t>4.75</w:t>
      </w:r>
      <w:r>
        <w:rPr>
          <w:rFonts w:hint="eastAsia" w:ascii="Times New Roman" w:hAnsi="Times New Roman" w:eastAsia="仿宋_GB2312" w:cs="仿宋_GB2312"/>
          <w:color w:val="auto"/>
          <w:kern w:val="2"/>
          <w:sz w:val="32"/>
          <w:szCs w:val="32"/>
          <w:highlight w:val="none"/>
          <w:lang w:val="zh-CN" w:eastAsia="zh-CN" w:bidi="ar-SA"/>
        </w:rPr>
        <w:t>%，政府采购预算偏离度为</w:t>
      </w:r>
      <w:r>
        <w:rPr>
          <w:rFonts w:hint="eastAsia" w:ascii="Times New Roman" w:hAnsi="Times New Roman" w:eastAsia="仿宋_GB2312" w:cs="仿宋_GB2312"/>
          <w:color w:val="auto"/>
          <w:kern w:val="2"/>
          <w:sz w:val="32"/>
          <w:szCs w:val="32"/>
          <w:highlight w:val="none"/>
          <w:lang w:val="en-US" w:eastAsia="zh-CN" w:bidi="ar-SA"/>
        </w:rPr>
        <w:t>6.17</w:t>
      </w:r>
      <w:r>
        <w:rPr>
          <w:rFonts w:hint="eastAsia" w:ascii="Times New Roman" w:hAnsi="Times New Roman" w:eastAsia="仿宋_GB2312" w:cs="仿宋_GB2312"/>
          <w:color w:val="auto"/>
          <w:kern w:val="2"/>
          <w:sz w:val="32"/>
          <w:szCs w:val="32"/>
          <w:highlight w:val="none"/>
          <w:lang w:val="zh-CN" w:eastAsia="zh-CN" w:bidi="ar-SA"/>
        </w:rPr>
        <w:t>%，反映我局能够严格按要求编制年初部门预算，资源配置及政府采购预算偏离度较低，但财政拨款预算偏离度较高，预算编制科学性和准确性有待进一步加强。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②支出执行进度：攀枝花市城市管理行政执法局202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年1-6月预算执行率为</w:t>
      </w:r>
      <w:r>
        <w:rPr>
          <w:rFonts w:hint="eastAsia" w:ascii="Times New Roman" w:hAnsi="Times New Roman" w:eastAsia="仿宋_GB2312" w:cs="仿宋_GB2312"/>
          <w:color w:val="auto"/>
          <w:kern w:val="2"/>
          <w:sz w:val="32"/>
          <w:szCs w:val="32"/>
          <w:highlight w:val="none"/>
          <w:lang w:val="en-US" w:eastAsia="zh-CN" w:bidi="ar-SA"/>
        </w:rPr>
        <w:t>47.93</w:t>
      </w:r>
      <w:r>
        <w:rPr>
          <w:rFonts w:hint="eastAsia" w:ascii="Times New Roman" w:hAnsi="Times New Roman" w:eastAsia="仿宋_GB2312" w:cs="仿宋_GB2312"/>
          <w:color w:val="auto"/>
          <w:kern w:val="2"/>
          <w:sz w:val="32"/>
          <w:szCs w:val="32"/>
          <w:highlight w:val="none"/>
          <w:lang w:val="zh-CN" w:eastAsia="zh-CN" w:bidi="ar-SA"/>
        </w:rPr>
        <w:t>%，1-10月预算执行率为</w:t>
      </w:r>
      <w:r>
        <w:rPr>
          <w:rFonts w:hint="eastAsia" w:ascii="Times New Roman" w:hAnsi="Times New Roman" w:eastAsia="仿宋_GB2312" w:cs="仿宋_GB2312"/>
          <w:color w:val="auto"/>
          <w:kern w:val="2"/>
          <w:sz w:val="32"/>
          <w:szCs w:val="32"/>
          <w:highlight w:val="none"/>
          <w:lang w:val="en-US" w:eastAsia="zh-CN" w:bidi="ar-SA"/>
        </w:rPr>
        <w:t>82.16</w:t>
      </w:r>
      <w:r>
        <w:rPr>
          <w:rFonts w:hint="eastAsia" w:ascii="Times New Roman" w:hAnsi="Times New Roman" w:eastAsia="仿宋_GB2312" w:cs="仿宋_GB2312"/>
          <w:color w:val="auto"/>
          <w:kern w:val="2"/>
          <w:sz w:val="32"/>
          <w:szCs w:val="32"/>
          <w:highlight w:val="none"/>
          <w:lang w:val="zh-CN" w:eastAsia="zh-CN" w:bidi="ar-SA"/>
        </w:rPr>
        <w:t>%，1-6月支出预警金额为</w:t>
      </w:r>
      <w:r>
        <w:rPr>
          <w:rFonts w:hint="eastAsia" w:ascii="Times New Roman" w:hAnsi="Times New Roman" w:eastAsia="仿宋_GB2312" w:cs="仿宋_GB2312"/>
          <w:color w:val="auto"/>
          <w:kern w:val="2"/>
          <w:sz w:val="32"/>
          <w:szCs w:val="32"/>
          <w:highlight w:val="none"/>
          <w:lang w:val="en-US" w:eastAsia="zh-CN" w:bidi="ar-SA"/>
        </w:rPr>
        <w:t>113.52</w:t>
      </w:r>
      <w:r>
        <w:rPr>
          <w:rFonts w:hint="eastAsia" w:ascii="Times New Roman" w:hAnsi="Times New Roman" w:eastAsia="仿宋_GB2312" w:cs="仿宋_GB2312"/>
          <w:color w:val="auto"/>
          <w:kern w:val="2"/>
          <w:sz w:val="32"/>
          <w:szCs w:val="32"/>
          <w:highlight w:val="none"/>
          <w:lang w:val="zh-CN" w:eastAsia="zh-CN" w:bidi="ar-SA"/>
        </w:rPr>
        <w:t>万元，1-10月支出预警金额为</w:t>
      </w:r>
      <w:r>
        <w:rPr>
          <w:rFonts w:hint="eastAsia" w:ascii="Times New Roman" w:hAnsi="Times New Roman" w:eastAsia="仿宋_GB2312" w:cs="仿宋_GB2312"/>
          <w:color w:val="auto"/>
          <w:kern w:val="2"/>
          <w:sz w:val="32"/>
          <w:szCs w:val="32"/>
          <w:highlight w:val="none"/>
          <w:lang w:val="en-US" w:eastAsia="zh-CN" w:bidi="ar-SA"/>
        </w:rPr>
        <w:t>148.97</w:t>
      </w:r>
      <w:r>
        <w:rPr>
          <w:rFonts w:hint="eastAsia" w:ascii="Times New Roman" w:hAnsi="Times New Roman" w:eastAsia="仿宋_GB2312" w:cs="仿宋_GB2312"/>
          <w:color w:val="auto"/>
          <w:kern w:val="2"/>
          <w:sz w:val="32"/>
          <w:szCs w:val="32"/>
          <w:highlight w:val="none"/>
          <w:lang w:val="zh-CN" w:eastAsia="zh-CN" w:bidi="ar-SA"/>
        </w:rPr>
        <w:t>万元，主要为退休人员一次性退休补贴及春节前支付农民工工资，全年无支出违规金额。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③预算年终结余：攀枝花市城市管理行政执法局202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年年终注销金额为</w:t>
      </w:r>
      <w:r>
        <w:rPr>
          <w:rFonts w:hint="eastAsia" w:ascii="Times New Roman" w:hAnsi="Times New Roman" w:eastAsia="仿宋_GB2312" w:cs="仿宋_GB2312"/>
          <w:color w:val="auto"/>
          <w:kern w:val="2"/>
          <w:sz w:val="32"/>
          <w:szCs w:val="32"/>
          <w:highlight w:val="none"/>
          <w:lang w:val="en-US" w:eastAsia="zh-CN" w:bidi="ar-SA"/>
        </w:rPr>
        <w:t>370.13</w:t>
      </w:r>
      <w:r>
        <w:rPr>
          <w:rFonts w:hint="eastAsia" w:ascii="Times New Roman" w:hAnsi="Times New Roman" w:eastAsia="仿宋_GB2312" w:cs="仿宋_GB2312"/>
          <w:color w:val="auto"/>
          <w:kern w:val="2"/>
          <w:sz w:val="32"/>
          <w:szCs w:val="32"/>
          <w:highlight w:val="none"/>
          <w:lang w:val="zh-CN" w:eastAsia="zh-CN" w:bidi="ar-SA"/>
        </w:rPr>
        <w:t>万元，结转金额为</w:t>
      </w:r>
      <w:r>
        <w:rPr>
          <w:rFonts w:hint="eastAsia" w:ascii="Times New Roman" w:hAnsi="Times New Roman" w:eastAsia="仿宋_GB2312" w:cs="仿宋_GB2312"/>
          <w:color w:val="auto"/>
          <w:kern w:val="2"/>
          <w:sz w:val="32"/>
          <w:szCs w:val="32"/>
          <w:highlight w:val="none"/>
          <w:lang w:val="en-US" w:eastAsia="zh-CN" w:bidi="ar-SA"/>
        </w:rPr>
        <w:t>22.52万元</w:t>
      </w:r>
      <w:r>
        <w:rPr>
          <w:rFonts w:hint="eastAsia" w:ascii="Times New Roman" w:hAnsi="Times New Roman" w:eastAsia="仿宋_GB2312" w:cs="仿宋_GB2312"/>
          <w:color w:val="auto"/>
          <w:kern w:val="2"/>
          <w:sz w:val="32"/>
          <w:szCs w:val="32"/>
          <w:highlight w:val="none"/>
          <w:lang w:val="zh-CN" w:eastAsia="zh-CN" w:bidi="ar-SA"/>
        </w:rPr>
        <w:t>，整体预算结余率为</w:t>
      </w:r>
      <w:r>
        <w:rPr>
          <w:rFonts w:hint="eastAsia" w:ascii="Times New Roman" w:hAnsi="Times New Roman" w:eastAsia="仿宋_GB2312" w:cs="仿宋_GB2312"/>
          <w:color w:val="auto"/>
          <w:kern w:val="2"/>
          <w:sz w:val="32"/>
          <w:szCs w:val="32"/>
          <w:highlight w:val="none"/>
          <w:lang w:val="en-US" w:eastAsia="zh-CN" w:bidi="ar-SA"/>
        </w:rPr>
        <w:t>4.39</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④严控一般性支出：攀枝花市城市管理行政执法局202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年一般性支出财政拨款年初预算较202</w:t>
      </w: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年压减了</w:t>
      </w:r>
      <w:r>
        <w:rPr>
          <w:rFonts w:hint="eastAsia" w:ascii="Times New Roman" w:hAnsi="Times New Roman" w:eastAsia="仿宋_GB2312" w:cs="仿宋_GB2312"/>
          <w:color w:val="auto"/>
          <w:kern w:val="2"/>
          <w:sz w:val="32"/>
          <w:szCs w:val="32"/>
          <w:highlight w:val="none"/>
          <w:lang w:val="en-US" w:eastAsia="zh-CN" w:bidi="ar-SA"/>
        </w:rPr>
        <w:t>24.02</w:t>
      </w:r>
      <w:r>
        <w:rPr>
          <w:rFonts w:hint="eastAsia" w:ascii="Times New Roman" w:hAnsi="Times New Roman" w:eastAsia="仿宋_GB2312" w:cs="仿宋_GB2312"/>
          <w:color w:val="auto"/>
          <w:kern w:val="2"/>
          <w:sz w:val="32"/>
          <w:szCs w:val="32"/>
          <w:highlight w:val="none"/>
          <w:lang w:val="zh-CN" w:eastAsia="zh-CN" w:bidi="ar-SA"/>
        </w:rPr>
        <w:t>万元，压减</w:t>
      </w:r>
      <w:r>
        <w:rPr>
          <w:rFonts w:hint="eastAsia" w:ascii="Times New Roman" w:hAnsi="Times New Roman" w:eastAsia="仿宋_GB2312" w:cs="仿宋_GB2312"/>
          <w:color w:val="auto"/>
          <w:kern w:val="2"/>
          <w:sz w:val="32"/>
          <w:szCs w:val="32"/>
          <w:highlight w:val="none"/>
          <w:lang w:val="en-US" w:eastAsia="zh-CN" w:bidi="ar-SA"/>
        </w:rPr>
        <w:t>21.20</w:t>
      </w:r>
      <w:r>
        <w:rPr>
          <w:rFonts w:hint="eastAsia" w:ascii="Times New Roman" w:hAnsi="Times New Roman" w:eastAsia="仿宋_GB2312" w:cs="仿宋_GB2312"/>
          <w:color w:val="auto"/>
          <w:kern w:val="2"/>
          <w:sz w:val="32"/>
          <w:szCs w:val="32"/>
          <w:highlight w:val="none"/>
          <w:lang w:val="zh-CN" w:eastAsia="zh-CN" w:bidi="ar-SA"/>
        </w:rPr>
        <w:t>%，202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年一般性支出财政拨款预算执行较20</w:t>
      </w: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年压减了</w:t>
      </w:r>
      <w:r>
        <w:rPr>
          <w:rFonts w:hint="eastAsia" w:ascii="Times New Roman" w:hAnsi="Times New Roman" w:eastAsia="仿宋_GB2312" w:cs="仿宋_GB2312"/>
          <w:color w:val="auto"/>
          <w:kern w:val="2"/>
          <w:sz w:val="32"/>
          <w:szCs w:val="32"/>
          <w:highlight w:val="none"/>
          <w:lang w:val="en-US" w:eastAsia="zh-CN" w:bidi="ar-SA"/>
        </w:rPr>
        <w:t>11.37</w:t>
      </w:r>
      <w:r>
        <w:rPr>
          <w:rFonts w:hint="eastAsia" w:ascii="Times New Roman" w:hAnsi="Times New Roman" w:eastAsia="仿宋_GB2312" w:cs="仿宋_GB2312"/>
          <w:color w:val="auto"/>
          <w:kern w:val="2"/>
          <w:sz w:val="32"/>
          <w:szCs w:val="32"/>
          <w:highlight w:val="none"/>
          <w:lang w:val="zh-CN" w:eastAsia="zh-CN" w:bidi="ar-SA"/>
        </w:rPr>
        <w:t>万元，压减</w:t>
      </w:r>
      <w:r>
        <w:rPr>
          <w:rFonts w:hint="eastAsia" w:ascii="Times New Roman" w:hAnsi="Times New Roman" w:eastAsia="仿宋_GB2312" w:cs="仿宋_GB2312"/>
          <w:color w:val="auto"/>
          <w:kern w:val="2"/>
          <w:sz w:val="32"/>
          <w:szCs w:val="32"/>
          <w:highlight w:val="none"/>
          <w:lang w:val="en-US" w:eastAsia="zh-CN" w:bidi="ar-SA"/>
        </w:rPr>
        <w:t>12.48</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财务管理。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财务管理制度：攀枝花市城市管理行政执法局制定印发了《攀枝花市城市管理行政执法局财务管理办法（试行）》（攀城管执发〔2023〕37号）《攀枝花市城市管理行政执法局档案管理制度》《全面推行市城管系统档案分类方案、文件材料归档范围和档案保管期限表三合一制度的实施方案》，并严格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②财务岗位设置：局机关及局属事业单位均按要求设置财务工作岗位，明确职责权限，并严格实行不相容岗位分离。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③资金使用规范：资金使用无不符合相关财务管理制度规定，支出预警金额主要为原煤气总公司退休人员生活补助及死亡人员丧葬费和一次性抚恤金，全年无支出违规金额。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资产管理。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①人均资产变化率：攀枝花市城市管理行政执法局</w:t>
      </w:r>
      <w:r>
        <w:rPr>
          <w:rFonts w:hint="eastAsia" w:ascii="Times New Roman" w:hAnsi="Times New Roman" w:eastAsia="仿宋_GB2312" w:cs="仿宋_GB2312"/>
          <w:color w:val="auto"/>
          <w:kern w:val="2"/>
          <w:sz w:val="32"/>
          <w:szCs w:val="32"/>
          <w:highlight w:val="none"/>
          <w:lang w:val="en-US" w:eastAsia="zh-CN" w:bidi="ar-SA"/>
        </w:rPr>
        <w:t>2024年和</w:t>
      </w:r>
      <w:r>
        <w:rPr>
          <w:rFonts w:hint="eastAsia" w:ascii="Times New Roman" w:hAnsi="Times New Roman" w:eastAsia="仿宋_GB2312" w:cs="仿宋_GB2312"/>
          <w:color w:val="auto"/>
          <w:kern w:val="2"/>
          <w:sz w:val="32"/>
          <w:szCs w:val="32"/>
          <w:highlight w:val="none"/>
          <w:lang w:val="zh-CN" w:eastAsia="zh-CN" w:bidi="ar-SA"/>
        </w:rPr>
        <w:t>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年人均资产变化率分别为</w:t>
      </w:r>
      <w:r>
        <w:rPr>
          <w:rFonts w:hint="eastAsia" w:ascii="Times New Roman" w:hAnsi="Times New Roman" w:eastAsia="仿宋_GB2312" w:cs="仿宋_GB2312"/>
          <w:color w:val="auto"/>
          <w:kern w:val="2"/>
          <w:sz w:val="32"/>
          <w:szCs w:val="32"/>
          <w:highlight w:val="none"/>
          <w:lang w:val="en-US" w:eastAsia="zh-CN" w:bidi="ar-SA"/>
        </w:rPr>
        <w:t>2.40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2.38</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2025年较2024年有所降低；</w:t>
      </w:r>
      <w:r>
        <w:rPr>
          <w:rFonts w:hint="eastAsia" w:ascii="Times New Roman" w:hAnsi="Times New Roman" w:eastAsia="仿宋_GB2312" w:cs="仿宋_GB2312"/>
          <w:color w:val="auto"/>
          <w:kern w:val="2"/>
          <w:sz w:val="32"/>
          <w:szCs w:val="32"/>
          <w:highlight w:val="none"/>
          <w:lang w:val="zh-CN" w:eastAsia="zh-CN" w:bidi="ar-SA"/>
        </w:rPr>
        <w:t>人均资产增长率为</w:t>
      </w:r>
      <w:r>
        <w:rPr>
          <w:rFonts w:hint="eastAsia" w:ascii="Times New Roman" w:hAnsi="Times New Roman" w:eastAsia="仿宋_GB2312" w:cs="仿宋_GB2312"/>
          <w:color w:val="auto"/>
          <w:kern w:val="2"/>
          <w:sz w:val="32"/>
          <w:szCs w:val="32"/>
          <w:highlight w:val="none"/>
          <w:lang w:val="en-US" w:eastAsia="zh-CN" w:bidi="ar-SA"/>
        </w:rPr>
        <w:t>2.38%，</w:t>
      </w:r>
      <w:r>
        <w:rPr>
          <w:rFonts w:hint="eastAsia" w:ascii="Times New Roman" w:hAnsi="Times New Roman" w:eastAsia="仿宋_GB2312" w:cs="仿宋_GB2312"/>
          <w:color w:val="auto"/>
          <w:kern w:val="2"/>
          <w:sz w:val="32"/>
          <w:szCs w:val="32"/>
          <w:highlight w:val="none"/>
          <w:lang w:val="zh-CN" w:eastAsia="zh-CN" w:bidi="ar-SA"/>
        </w:rPr>
        <w:t>大于</w:t>
      </w:r>
      <w:r>
        <w:rPr>
          <w:rFonts w:hint="eastAsia" w:ascii="Times New Roman" w:hAnsi="Times New Roman" w:eastAsia="仿宋_GB2312" w:cs="仿宋_GB2312"/>
          <w:color w:val="auto"/>
          <w:kern w:val="2"/>
          <w:sz w:val="32"/>
          <w:szCs w:val="32"/>
          <w:highlight w:val="none"/>
          <w:lang w:val="en-US" w:eastAsia="zh-CN" w:bidi="ar-SA"/>
        </w:rPr>
        <w:t>0小于</w:t>
      </w:r>
      <w:r>
        <w:rPr>
          <w:rFonts w:hint="eastAsia" w:ascii="Times New Roman" w:hAnsi="Times New Roman" w:eastAsia="仿宋_GB2312" w:cs="仿宋_GB2312"/>
          <w:color w:val="auto"/>
          <w:kern w:val="2"/>
          <w:sz w:val="32"/>
          <w:szCs w:val="32"/>
          <w:highlight w:val="none"/>
          <w:lang w:val="zh-CN" w:eastAsia="zh-CN" w:bidi="ar-SA"/>
        </w:rPr>
        <w:t>市级财政收入增长率（</w:t>
      </w:r>
      <w:r>
        <w:rPr>
          <w:rFonts w:hint="eastAsia" w:ascii="Times New Roman" w:hAnsi="Times New Roman" w:eastAsia="仿宋_GB2312" w:cs="仿宋_GB2312"/>
          <w:color w:val="auto"/>
          <w:kern w:val="2"/>
          <w:sz w:val="32"/>
          <w:szCs w:val="32"/>
          <w:highlight w:val="none"/>
          <w:lang w:val="en-US" w:eastAsia="zh-CN" w:bidi="ar-SA"/>
        </w:rPr>
        <w:t>2.5</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②资产利用率：攀枝花市城市管理行政执法局</w:t>
      </w:r>
      <w:r>
        <w:rPr>
          <w:rFonts w:hint="eastAsia" w:ascii="Times New Roman" w:hAnsi="Times New Roman" w:eastAsia="仿宋_GB2312" w:cs="仿宋_GB2312"/>
          <w:color w:val="auto"/>
          <w:kern w:val="2"/>
          <w:sz w:val="32"/>
          <w:szCs w:val="32"/>
          <w:highlight w:val="none"/>
          <w:lang w:val="en-US" w:eastAsia="zh-CN" w:bidi="ar-SA"/>
        </w:rPr>
        <w:t>2024年和</w:t>
      </w:r>
      <w:r>
        <w:rPr>
          <w:rFonts w:hint="eastAsia" w:ascii="Times New Roman" w:hAnsi="Times New Roman" w:eastAsia="仿宋_GB2312" w:cs="仿宋_GB2312"/>
          <w:color w:val="auto"/>
          <w:kern w:val="2"/>
          <w:sz w:val="32"/>
          <w:szCs w:val="32"/>
          <w:highlight w:val="none"/>
          <w:lang w:val="zh-CN" w:eastAsia="zh-CN" w:bidi="ar-SA"/>
        </w:rPr>
        <w:t>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年办公家具超最低使用年限资产利用率分别为</w:t>
      </w:r>
      <w:r>
        <w:rPr>
          <w:rFonts w:hint="eastAsia" w:ascii="Times New Roman" w:hAnsi="Times New Roman" w:eastAsia="仿宋_GB2312" w:cs="仿宋_GB2312"/>
          <w:color w:val="auto"/>
          <w:kern w:val="2"/>
          <w:sz w:val="32"/>
          <w:szCs w:val="32"/>
          <w:highlight w:val="none"/>
          <w:lang w:val="en-US" w:eastAsia="zh-CN" w:bidi="ar-SA"/>
        </w:rPr>
        <w:t>57.26%、53.52</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2024年和2025年</w:t>
      </w:r>
      <w:r>
        <w:rPr>
          <w:rFonts w:hint="eastAsia" w:ascii="Times New Roman" w:hAnsi="Times New Roman" w:eastAsia="仿宋_GB2312" w:cs="仿宋_GB2312"/>
          <w:color w:val="auto"/>
          <w:kern w:val="2"/>
          <w:sz w:val="32"/>
          <w:szCs w:val="32"/>
          <w:highlight w:val="none"/>
          <w:lang w:val="zh-CN" w:eastAsia="zh-CN" w:bidi="ar-SA"/>
        </w:rPr>
        <w:t>办公设备超最低使用年限资产利用率分别为</w:t>
      </w:r>
      <w:r>
        <w:rPr>
          <w:rFonts w:hint="eastAsia" w:ascii="Times New Roman" w:hAnsi="Times New Roman" w:eastAsia="仿宋_GB2312" w:cs="仿宋_GB2312"/>
          <w:color w:val="auto"/>
          <w:kern w:val="2"/>
          <w:sz w:val="32"/>
          <w:szCs w:val="32"/>
          <w:highlight w:val="none"/>
          <w:lang w:val="en-US" w:eastAsia="zh-CN" w:bidi="ar-SA"/>
        </w:rPr>
        <w:t>58.53%、59.36</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③资产盘活率：攀枝花市城市管理行政执法局2024年无闲置资产。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采购管理。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①支持中小企业发展：攀枝花市城市管理行政执法局202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年对适宜由中小企业提供的采购项目和采购包，预留采购份额专门面向中小企业采购，并在采购预算中单独列示，符合相关要求。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②采购执行率：攀枝花市城市管理行政执法局202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年政府采购实际支付总金额为</w:t>
      </w:r>
      <w:r>
        <w:rPr>
          <w:rFonts w:hint="eastAsia" w:ascii="Times New Roman" w:hAnsi="Times New Roman" w:eastAsia="仿宋_GB2312" w:cs="仿宋_GB2312"/>
          <w:color w:val="auto"/>
          <w:kern w:val="2"/>
          <w:sz w:val="32"/>
          <w:szCs w:val="32"/>
          <w:highlight w:val="none"/>
          <w:lang w:val="en-US" w:eastAsia="zh-CN" w:bidi="ar-SA"/>
        </w:rPr>
        <w:t>433.26</w:t>
      </w:r>
      <w:r>
        <w:rPr>
          <w:rFonts w:hint="eastAsia" w:ascii="Times New Roman" w:hAnsi="Times New Roman" w:eastAsia="仿宋_GB2312" w:cs="仿宋_GB2312"/>
          <w:color w:val="auto"/>
          <w:kern w:val="2"/>
          <w:sz w:val="32"/>
          <w:szCs w:val="32"/>
          <w:highlight w:val="none"/>
          <w:lang w:val="zh-CN" w:eastAsia="zh-CN" w:bidi="ar-SA"/>
        </w:rPr>
        <w:t>万元，当年政府采购总预算数为</w:t>
      </w:r>
      <w:r>
        <w:rPr>
          <w:rFonts w:hint="eastAsia" w:ascii="Times New Roman" w:hAnsi="Times New Roman" w:eastAsia="仿宋_GB2312" w:cs="仿宋_GB2312"/>
          <w:color w:val="auto"/>
          <w:kern w:val="2"/>
          <w:sz w:val="32"/>
          <w:szCs w:val="32"/>
          <w:highlight w:val="none"/>
          <w:lang w:val="en-US" w:eastAsia="zh-CN" w:bidi="ar-SA"/>
        </w:rPr>
        <w:t>514.09</w:t>
      </w:r>
      <w:r>
        <w:rPr>
          <w:rFonts w:hint="eastAsia" w:ascii="Times New Roman" w:hAnsi="Times New Roman" w:eastAsia="仿宋_GB2312" w:cs="仿宋_GB2312"/>
          <w:color w:val="auto"/>
          <w:kern w:val="2"/>
          <w:sz w:val="32"/>
          <w:szCs w:val="32"/>
          <w:highlight w:val="none"/>
          <w:lang w:val="zh-CN" w:eastAsia="zh-CN" w:bidi="ar-SA"/>
        </w:rPr>
        <w:t>万元，当年已完成采购项目节约金额为</w:t>
      </w:r>
      <w:r>
        <w:rPr>
          <w:rFonts w:hint="eastAsia" w:ascii="Times New Roman" w:hAnsi="Times New Roman" w:eastAsia="仿宋_GB2312" w:cs="仿宋_GB2312"/>
          <w:color w:val="auto"/>
          <w:kern w:val="2"/>
          <w:sz w:val="32"/>
          <w:szCs w:val="32"/>
          <w:highlight w:val="none"/>
          <w:lang w:val="en-US" w:eastAsia="zh-CN" w:bidi="ar-SA"/>
        </w:rPr>
        <w:t>3.49</w:t>
      </w:r>
      <w:r>
        <w:rPr>
          <w:rFonts w:hint="eastAsia" w:ascii="Times New Roman" w:hAnsi="Times New Roman" w:eastAsia="仿宋_GB2312" w:cs="仿宋_GB2312"/>
          <w:color w:val="auto"/>
          <w:kern w:val="2"/>
          <w:sz w:val="32"/>
          <w:szCs w:val="32"/>
          <w:highlight w:val="none"/>
          <w:lang w:val="zh-CN" w:eastAsia="zh-CN" w:bidi="ar-SA"/>
        </w:rPr>
        <w:t>万元，采购执行率为</w:t>
      </w:r>
      <w:r>
        <w:rPr>
          <w:rFonts w:hint="eastAsia" w:ascii="Times New Roman" w:hAnsi="Times New Roman" w:eastAsia="仿宋_GB2312" w:cs="仿宋_GB2312"/>
          <w:color w:val="auto"/>
          <w:kern w:val="2"/>
          <w:sz w:val="32"/>
          <w:szCs w:val="32"/>
          <w:highlight w:val="none"/>
          <w:lang w:val="en-US" w:eastAsia="zh-CN" w:bidi="ar-SA"/>
        </w:rPr>
        <w:t>84.85</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（二）部门预算项目绩效分析。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常年项目绩效分析。</w:t>
      </w:r>
      <w:r>
        <w:rPr>
          <w:rFonts w:hint="eastAsia"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829.14</w:t>
      </w:r>
      <w:r>
        <w:rPr>
          <w:rFonts w:hint="eastAsia" w:ascii="Times New Roman" w:hAnsi="Times New Roman" w:eastAsia="仿宋_GB2312" w:cs="仿宋_GB2312"/>
          <w:color w:val="auto"/>
          <w:kern w:val="2"/>
          <w:sz w:val="32"/>
          <w:szCs w:val="32"/>
          <w:highlight w:val="none"/>
          <w:lang w:val="zh-CN" w:eastAsia="zh-CN" w:bidi="ar-SA"/>
        </w:rPr>
        <w:t>万元，1—1</w:t>
      </w: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月预算执行</w:t>
      </w:r>
      <w:r>
        <w:rPr>
          <w:rFonts w:hint="eastAsia" w:ascii="Times New Roman" w:hAnsi="Times New Roman" w:eastAsia="仿宋_GB2312" w:cs="仿宋_GB2312"/>
          <w:color w:val="auto"/>
          <w:kern w:val="2"/>
          <w:sz w:val="32"/>
          <w:szCs w:val="32"/>
          <w:highlight w:val="none"/>
          <w:lang w:val="en-US" w:eastAsia="zh-CN" w:bidi="ar-SA"/>
        </w:rPr>
        <w:t>828.33万元，</w:t>
      </w:r>
      <w:r>
        <w:rPr>
          <w:rFonts w:hint="eastAsia" w:ascii="Times New Roman" w:hAnsi="Times New Roman" w:eastAsia="仿宋_GB2312" w:cs="仿宋_GB2312"/>
          <w:color w:val="auto"/>
          <w:kern w:val="2"/>
          <w:sz w:val="32"/>
          <w:szCs w:val="32"/>
          <w:highlight w:val="none"/>
          <w:lang w:val="zh-CN" w:eastAsia="zh-CN" w:bidi="ar-SA"/>
        </w:rPr>
        <w:t>总体进度为</w:t>
      </w:r>
      <w:r>
        <w:rPr>
          <w:rFonts w:hint="eastAsia" w:ascii="Times New Roman" w:hAnsi="Times New Roman" w:eastAsia="仿宋_GB2312" w:cs="仿宋_GB2312"/>
          <w:color w:val="auto"/>
          <w:kern w:val="2"/>
          <w:sz w:val="32"/>
          <w:szCs w:val="32"/>
          <w:highlight w:val="none"/>
          <w:lang w:val="en-US" w:eastAsia="zh-CN" w:bidi="ar-SA"/>
        </w:rPr>
        <w:t>99.90</w:t>
      </w:r>
      <w:r>
        <w:rPr>
          <w:rFonts w:hint="eastAsia" w:ascii="Times New Roman" w:hAnsi="Times New Roman" w:eastAsia="仿宋_GB2312" w:cs="仿宋_GB2312"/>
          <w:color w:val="auto"/>
          <w:kern w:val="2"/>
          <w:sz w:val="32"/>
          <w:szCs w:val="32"/>
          <w:highlight w:val="none"/>
          <w:lang w:val="zh-CN" w:eastAsia="zh-CN" w:bidi="ar-SA"/>
        </w:rPr>
        <w:t>%，其中：预算结余率大于</w:t>
      </w:r>
      <w:r>
        <w:rPr>
          <w:rFonts w:hint="eastAsia" w:ascii="Times New Roman" w:hAnsi="Times New Roman"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zh-CN" w:eastAsia="zh-CN" w:bidi="ar-SA"/>
        </w:rPr>
        <w:t>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阶段（含一次性）项目绩效分析。</w:t>
      </w:r>
      <w:r>
        <w:rPr>
          <w:rFonts w:hint="eastAsia"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25</w:t>
      </w:r>
      <w:r>
        <w:rPr>
          <w:rFonts w:hint="eastAsia"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797.12</w:t>
      </w:r>
      <w:r>
        <w:rPr>
          <w:rFonts w:hint="eastAsia" w:ascii="Times New Roman" w:hAnsi="Times New Roman" w:eastAsia="仿宋_GB2312" w:cs="仿宋_GB2312"/>
          <w:color w:val="auto"/>
          <w:kern w:val="2"/>
          <w:sz w:val="32"/>
          <w:szCs w:val="32"/>
          <w:highlight w:val="none"/>
          <w:lang w:val="zh-CN" w:eastAsia="zh-CN" w:bidi="ar-SA"/>
        </w:rPr>
        <w:t>万元，1—1</w:t>
      </w: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月预算执行</w:t>
      </w:r>
      <w:r>
        <w:rPr>
          <w:rFonts w:hint="eastAsia" w:ascii="Times New Roman" w:hAnsi="Times New Roman" w:eastAsia="仿宋_GB2312" w:cs="仿宋_GB2312"/>
          <w:color w:val="auto"/>
          <w:kern w:val="2"/>
          <w:sz w:val="32"/>
          <w:szCs w:val="32"/>
          <w:highlight w:val="none"/>
          <w:lang w:val="en-US" w:eastAsia="zh-CN" w:bidi="ar-SA"/>
        </w:rPr>
        <w:t>772.39万元，</w:t>
      </w:r>
      <w:r>
        <w:rPr>
          <w:rFonts w:hint="eastAsia" w:ascii="Times New Roman" w:hAnsi="Times New Roman" w:eastAsia="仿宋_GB2312" w:cs="仿宋_GB2312"/>
          <w:color w:val="auto"/>
          <w:kern w:val="2"/>
          <w:sz w:val="32"/>
          <w:szCs w:val="32"/>
          <w:highlight w:val="none"/>
          <w:lang w:val="zh-CN" w:eastAsia="zh-CN" w:bidi="ar-SA"/>
        </w:rPr>
        <w:t>总体进度为</w:t>
      </w:r>
      <w:r>
        <w:rPr>
          <w:rFonts w:hint="eastAsia" w:ascii="Times New Roman" w:hAnsi="Times New Roman" w:eastAsia="仿宋_GB2312" w:cs="仿宋_GB2312"/>
          <w:color w:val="auto"/>
          <w:kern w:val="2"/>
          <w:sz w:val="32"/>
          <w:szCs w:val="32"/>
          <w:highlight w:val="none"/>
          <w:lang w:val="en-US" w:eastAsia="zh-CN" w:bidi="ar-SA"/>
        </w:rPr>
        <w:t>96.90</w:t>
      </w:r>
      <w:r>
        <w:rPr>
          <w:rFonts w:hint="eastAsia" w:ascii="Times New Roman" w:hAnsi="Times New Roman" w:eastAsia="仿宋_GB2312" w:cs="仿宋_GB2312"/>
          <w:color w:val="auto"/>
          <w:kern w:val="2"/>
          <w:sz w:val="32"/>
          <w:szCs w:val="32"/>
          <w:highlight w:val="none"/>
          <w:lang w:val="zh-CN" w:eastAsia="zh-CN" w:bidi="ar-SA"/>
        </w:rPr>
        <w:t>%，其中：预算结余率大于</w:t>
      </w:r>
      <w:r>
        <w:rPr>
          <w:rFonts w:hint="eastAsia" w:ascii="Times New Roman" w:hAnsi="Times New Roman"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①决策程序。攀枝花市城市管理行政执法局202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年部门预算项目严格按照规定进行评估论证、按照预算管理程序进行了预算项目的申报。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②目标设置。攀枝花市城市管理行政执法局202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年部门预算项目共</w:t>
      </w:r>
      <w:r>
        <w:rPr>
          <w:rFonts w:hint="eastAsia" w:ascii="Times New Roman" w:hAnsi="Times New Roman" w:eastAsia="仿宋_GB2312" w:cs="仿宋_GB2312"/>
          <w:color w:val="auto"/>
          <w:kern w:val="2"/>
          <w:sz w:val="32"/>
          <w:szCs w:val="32"/>
          <w:highlight w:val="none"/>
          <w:lang w:val="en-US" w:eastAsia="zh-CN" w:bidi="ar-SA"/>
        </w:rPr>
        <w:t>30个，除城管执法成本性支出项目年初设定的目标与项目实施存在一定差距，已及时进行了调整，其余29个项目</w:t>
      </w:r>
      <w:r>
        <w:rPr>
          <w:rFonts w:hint="eastAsia" w:ascii="Times New Roman" w:hAnsi="Times New Roman" w:eastAsia="仿宋_GB2312" w:cs="仿宋_GB2312"/>
          <w:color w:val="auto"/>
          <w:kern w:val="2"/>
          <w:sz w:val="32"/>
          <w:szCs w:val="32"/>
          <w:highlight w:val="none"/>
          <w:lang w:val="zh-CN" w:eastAsia="zh-CN" w:bidi="ar-SA"/>
        </w:rPr>
        <w:t>绩效目标与计划期内任务量相符，预算安排的资金也与项目实施结果匹配，绩效目标设置较为科学合理、规范完整、量化细化、预算匹配。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③项目入库。攀枝花市城市管理行政执法局202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年新增项目均在规定时间内进行项目登记入库。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①资金执行同向。攀枝花市城市管理行政执法局202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年部门预算项目共</w:t>
      </w:r>
      <w:r>
        <w:rPr>
          <w:rFonts w:hint="eastAsia" w:ascii="Times New Roman" w:hAnsi="Times New Roman" w:eastAsia="仿宋_GB2312" w:cs="仿宋_GB2312"/>
          <w:color w:val="auto"/>
          <w:kern w:val="2"/>
          <w:sz w:val="32"/>
          <w:szCs w:val="32"/>
          <w:highlight w:val="none"/>
          <w:lang w:val="en-US" w:eastAsia="zh-CN" w:bidi="ar-SA"/>
        </w:rPr>
        <w:t>30个，除城管执法成本性支出项目年初未计划列支评估费用，已及时对目标进行了调整，其余29个项目</w:t>
      </w:r>
      <w:r>
        <w:rPr>
          <w:rFonts w:hint="eastAsia" w:ascii="Times New Roman" w:hAnsi="Times New Roman" w:eastAsia="仿宋_GB2312" w:cs="仿宋_GB2312"/>
          <w:color w:val="auto"/>
          <w:kern w:val="2"/>
          <w:sz w:val="32"/>
          <w:szCs w:val="32"/>
          <w:highlight w:val="none"/>
          <w:lang w:val="zh-CN" w:eastAsia="zh-CN" w:bidi="ar-SA"/>
        </w:rPr>
        <w:t>实际列支内容与绩效目标设置方向相符。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②项目调整。攀枝花市城市管理行政执法局202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年部门预算在执行过程中根据实际工作需求调整了部分部门预算，全部执行完毕，不存在应采取未采取收回预算、调整目标等情况的项目。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③执行结果。攀枝花市城市管理行政执法局202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个常年项目预算结余率均小于10%，一次性项目和阶段项目中园林物资循环站生产养护项目预算结余率为</w:t>
      </w:r>
      <w:r>
        <w:rPr>
          <w:rFonts w:hint="eastAsia" w:ascii="Times New Roman" w:hAnsi="Times New Roman" w:eastAsia="仿宋_GB2312" w:cs="仿宋_GB2312"/>
          <w:color w:val="auto"/>
          <w:kern w:val="2"/>
          <w:sz w:val="32"/>
          <w:szCs w:val="32"/>
          <w:highlight w:val="none"/>
          <w:lang w:val="en-US" w:eastAsia="zh-CN" w:bidi="ar-SA"/>
        </w:rPr>
        <w:t>74.56</w:t>
      </w:r>
      <w:r>
        <w:rPr>
          <w:rFonts w:hint="eastAsia" w:ascii="Times New Roman" w:hAnsi="Times New Roman" w:eastAsia="仿宋_GB2312" w:cs="仿宋_GB2312"/>
          <w:color w:val="auto"/>
          <w:kern w:val="2"/>
          <w:sz w:val="32"/>
          <w:szCs w:val="32"/>
          <w:highlight w:val="none"/>
          <w:lang w:val="zh-CN" w:eastAsia="zh-CN" w:bidi="ar-SA"/>
        </w:rPr>
        <w:t>%，向上争取资金工作经费预算结余率为</w:t>
      </w:r>
      <w:r>
        <w:rPr>
          <w:rFonts w:hint="eastAsia" w:ascii="Times New Roman" w:hAnsi="Times New Roman" w:eastAsia="仿宋_GB2312" w:cs="仿宋_GB2312"/>
          <w:color w:val="auto"/>
          <w:kern w:val="2"/>
          <w:sz w:val="32"/>
          <w:szCs w:val="32"/>
          <w:highlight w:val="none"/>
          <w:lang w:val="en-US" w:eastAsia="zh-CN" w:bidi="ar-SA"/>
        </w:rPr>
        <w:t>44.07%，钢城大道西段、木棉路、炳清线城市主干道绿化整治项目</w:t>
      </w:r>
      <w:r>
        <w:rPr>
          <w:rFonts w:hint="eastAsia" w:ascii="Times New Roman" w:hAnsi="Times New Roman" w:eastAsia="仿宋_GB2312" w:cs="仿宋_GB2312"/>
          <w:color w:val="auto"/>
          <w:kern w:val="2"/>
          <w:sz w:val="32"/>
          <w:szCs w:val="32"/>
          <w:highlight w:val="none"/>
          <w:lang w:val="zh-CN" w:eastAsia="zh-CN" w:bidi="ar-SA"/>
        </w:rPr>
        <w:t>预算结余率为</w:t>
      </w:r>
      <w:r>
        <w:rPr>
          <w:rFonts w:hint="eastAsia" w:ascii="Times New Roman" w:hAnsi="Times New Roman" w:eastAsia="仿宋_GB2312" w:cs="仿宋_GB2312"/>
          <w:color w:val="auto"/>
          <w:kern w:val="2"/>
          <w:sz w:val="32"/>
          <w:szCs w:val="32"/>
          <w:highlight w:val="none"/>
          <w:lang w:val="en-US" w:eastAsia="zh-CN" w:bidi="ar-SA"/>
        </w:rPr>
        <w:t>75</w:t>
      </w:r>
      <w:r>
        <w:rPr>
          <w:rFonts w:hint="eastAsia" w:ascii="Times New Roman" w:hAnsi="Times New Roman" w:eastAsia="仿宋_GB2312" w:cs="仿宋_GB2312"/>
          <w:color w:val="auto"/>
          <w:kern w:val="2"/>
          <w:sz w:val="32"/>
          <w:szCs w:val="32"/>
          <w:highlight w:val="none"/>
          <w:lang w:val="zh-CN" w:eastAsia="zh-CN" w:bidi="ar-SA"/>
        </w:rPr>
        <w:t>%，其余</w:t>
      </w:r>
      <w:r>
        <w:rPr>
          <w:rFonts w:hint="eastAsia" w:ascii="Times New Roman" w:hAnsi="Times New Roman"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zh-CN" w:eastAsia="zh-CN" w:bidi="ar-SA"/>
        </w:rPr>
        <w:t>个一次性项目和阶段项目预算结余率均小于10%。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①目标完成。攀枝花市城市管理行政执法局202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w:t>
      </w:r>
      <w:r>
        <w:rPr>
          <w:rFonts w:hint="eastAsia" w:ascii="Times New Roman" w:hAnsi="Times New Roman"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zh-CN" w:eastAsia="zh-CN" w:bidi="ar-SA"/>
        </w:rPr>
        <w:t>个预算项目均完成了绩效目标数量指标。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②目标偏离。</w:t>
      </w:r>
      <w:r>
        <w:rPr>
          <w:rFonts w:hint="eastAsia" w:ascii="Times New Roman" w:hAnsi="Times New Roman"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zh-CN" w:eastAsia="zh-CN" w:bidi="ar-SA"/>
        </w:rPr>
        <w:t>个预算项目均完成了绩效目标数量指标，不存在目标偏离情况。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③实现效果。</w:t>
      </w:r>
      <w:r>
        <w:rPr>
          <w:rFonts w:hint="eastAsia" w:ascii="Times New Roman" w:hAnsi="Times New Roman"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zh-CN" w:eastAsia="zh-CN" w:bidi="ar-SA"/>
        </w:rPr>
        <w:t>个部门预算项目均完成了绩效目标效益指标。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攀枝花市城市管理行政执法局2025年一般公共预算安排的常年项目共5个（其中政府购买服务项目1个），无政府性基金预算、国有资本经营预算安排的常年项目，一般公共预算安排的阶段项目19个（其中政府购买服务项目7个，其中4个项目部分资金有政府性基金预算安排），政府性基金预算安排的阶段项目6个（其中4个项目部分资金由一般公共预算安排），无国有资本经营预算安排的阶段项目。上述30个项目均圆满完成年初制定的绩效目标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（三）绩效结果应用情况。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1.内部应用情况。攀枝花市城市管理行政执法局充分运用绩效考评结果，调整工作方向，加强与财政部门的沟通协调，不断完善财政资金的预算编制工作。将预算绩效管理工作纳入年度考核，在年度考核奖二次分配时充分考虑绩效管理工作完成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2.信息公开情况。推进依法监督和信息公开，预算绩效管理依法接受审计监督，向社会主动公开。严格按照市财政局的统一要求同202</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年度部门决算工作一并进行公开公示。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3.整改反馈情况。比对各个指标结果进行总结、分析，将各个指标的问题向局属单位、局机关相关科室反馈，不断完善工作制度，加强管理。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四、评价结论及建议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（一）评价结论。</w:t>
      </w:r>
      <w:r>
        <w:rPr>
          <w:rFonts w:hint="eastAsia" w:ascii="Times New Roman" w:hAnsi="Times New Roman" w:eastAsia="仿宋_GB2312" w:cs="仿宋_GB2312"/>
          <w:color w:val="auto"/>
          <w:kern w:val="2"/>
          <w:sz w:val="32"/>
          <w:szCs w:val="32"/>
          <w:highlight w:val="none"/>
          <w:lang w:val="en-US" w:eastAsia="zh-CN" w:bidi="ar-SA"/>
        </w:rPr>
        <w:t>通过本次预算绩效考评，可以看到我单位绩效目标编制要素完整、绩效指标做到了细化、量化，单个数量指标实际完成达到预期指标基本完成了既定的绩效目标，较全面的实现了预算和绩效管理一体化，整体支出管理水平得到提升。根据部门整体支出绩效评价指标体系，我单位2025年度部门整体支出绩效自评94.58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（二）存在问题。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是部分项目执行度不够，如：钢城大道西段、木棉路、炳清线城市主干道绿化整治项目，预算执行度仅为25%，向上争取资金工作经费，预算执行度为55.93%，且均未结转至2026年。二是部分项目业务科室人员制定的绩效目标不够科学，操作性不强，财务人员对绩效目标的审核不够细致，专业性不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（三）改进建议。</w:t>
      </w:r>
      <w:bookmarkStart w:id="59" w:name="_Hlk110546638"/>
      <w:r>
        <w:rPr>
          <w:rFonts w:hint="eastAsia" w:ascii="Times New Roman" w:hAnsi="Times New Roman" w:eastAsia="仿宋_GB2312" w:cs="仿宋_GB2312"/>
          <w:color w:val="auto"/>
          <w:kern w:val="2"/>
          <w:sz w:val="32"/>
          <w:szCs w:val="32"/>
          <w:highlight w:val="none"/>
          <w:lang w:val="en-US" w:eastAsia="zh-CN" w:bidi="ar-SA"/>
        </w:rPr>
        <w:t>继续加强与财政局业务科室、预算科及绩效管理科的对接联系，不断强化预算编制、绩效目标设置等的科学性，积极参加省、市相关业务培训，不断增强财会业务能力和水平。</w:t>
      </w:r>
    </w:p>
    <w:bookmarkEnd w:id="59"/>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附表：1.部门预算绩效自评打分表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2.部门整体绩效目标完成情况自评表</w:t>
      </w:r>
    </w:p>
    <w:p>
      <w:pPr>
        <w:spacing w:line="578" w:lineRule="exact"/>
        <w:ind w:firstLine="1050" w:firstLineChars="500"/>
        <w:rPr>
          <w:szCs w:val="32"/>
        </w:rPr>
      </w:pP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textAlignment w:val="center"/>
        <w:outlineLvl w:val="9"/>
        <w:rPr>
          <w:rFonts w:hint="default" w:ascii="Times New Roman" w:hAnsi="Times New Roman" w:eastAsia="方正小标宋简体" w:cs="Times New Roman"/>
          <w:caps w:val="0"/>
          <w:color w:val="000000"/>
          <w:kern w:val="0"/>
          <w:sz w:val="44"/>
          <w:szCs w:val="44"/>
          <w:vertAlign w:val="baseline"/>
          <w:lang w:val="en-US"/>
        </w:rPr>
      </w:pPr>
      <w:r>
        <w:rPr>
          <w:rFonts w:hint="default" w:ascii="Times New Roman" w:hAnsi="方正小标宋简体" w:eastAsia="方正小标宋简体" w:cs="方正小标宋简体"/>
          <w:b w:val="0"/>
          <w:bCs w:val="0"/>
          <w:caps w:val="0"/>
          <w:color w:val="000000"/>
          <w:kern w:val="0"/>
          <w:sz w:val="44"/>
          <w:szCs w:val="44"/>
          <w:vertAlign w:val="baseline"/>
          <w:lang w:val="en-US" w:eastAsia="zh-CN" w:bidi="ar"/>
        </w:rPr>
        <w:t>部门预算绩效自评打分表</w:t>
      </w:r>
    </w:p>
    <w:tbl>
      <w:tblPr>
        <w:tblStyle w:val="18"/>
        <w:tblW w:w="1081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003"/>
        <w:gridCol w:w="1461"/>
        <w:gridCol w:w="1664"/>
        <w:gridCol w:w="719"/>
        <w:gridCol w:w="4732"/>
        <w:gridCol w:w="755"/>
        <w:gridCol w:w="4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48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default" w:ascii="方正仿宋_GBK" w:hAnsi="方正仿宋_GBK" w:eastAsia="方正仿宋_GBK" w:cs="方正仿宋_GBK"/>
                <w:b w:val="0"/>
                <w:bCs w:val="0"/>
                <w:caps w:val="0"/>
                <w:color w:val="000000"/>
                <w:kern w:val="0"/>
                <w:sz w:val="24"/>
                <w:szCs w:val="24"/>
                <w:vertAlign w:val="baseline"/>
                <w:lang w:val="en-US" w:eastAsia="zh-CN" w:bidi="ar"/>
              </w:rPr>
              <w:t>绩效评价指标指标分值</w:t>
            </w:r>
          </w:p>
        </w:tc>
        <w:tc>
          <w:tcPr>
            <w:tcW w:w="473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指标解释</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自评得分</w:t>
            </w: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一级指标</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二级指标</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三级指标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指标分值</w:t>
            </w:r>
          </w:p>
        </w:tc>
        <w:tc>
          <w:tcPr>
            <w:tcW w:w="473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5" w:hRule="atLeast"/>
          <w:jc w:val="center"/>
        </w:trPr>
        <w:tc>
          <w:tcPr>
            <w:tcW w:w="100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总体绩效（65分）</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履职效能（15分）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在城市管理上下功夫</w:t>
            </w:r>
          </w:p>
        </w:tc>
        <w:tc>
          <w:tcPr>
            <w:tcW w:w="719"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15</w:t>
            </w:r>
          </w:p>
        </w:tc>
        <w:tc>
          <w:tcPr>
            <w:tcW w:w="473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部门整体绩效目标中选定3-5个核心职能目标，反映该项职能目标完成效果情况</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eastAsia="zh-CN"/>
              </w:rPr>
            </w:pPr>
            <w:r>
              <w:rPr>
                <w:rFonts w:hint="eastAsia" w:ascii="方正仿宋_GBK" w:hAnsi="方正仿宋_GBK" w:eastAsia="方正仿宋_GBK" w:cs="方正仿宋_GBK"/>
                <w:caps w:val="0"/>
                <w:color w:val="000000"/>
                <w:kern w:val="0"/>
                <w:sz w:val="24"/>
                <w:szCs w:val="24"/>
                <w:vertAlign w:val="baseline"/>
                <w:lang w:val="en-US" w:eastAsia="zh-CN"/>
              </w:rPr>
              <w:t>13</w:t>
            </w: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kern w:val="0"/>
                <w:sz w:val="24"/>
                <w:szCs w:val="24"/>
                <w:vertAlign w:val="baseline"/>
                <w:lang w:val="en-US"/>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tabs>
                <w:tab w:val="left" w:pos="582"/>
              </w:tabs>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在气化全攀上出实招</w:t>
            </w:r>
          </w:p>
        </w:tc>
        <w:tc>
          <w:tcPr>
            <w:tcW w:w="719"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3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kern w:val="0"/>
                <w:sz w:val="24"/>
                <w:szCs w:val="24"/>
                <w:vertAlign w:val="baseline"/>
                <w:lang w:val="en-US"/>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在城市花化上出成效</w:t>
            </w:r>
          </w:p>
        </w:tc>
        <w:tc>
          <w:tcPr>
            <w:tcW w:w="719"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3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kern w:val="0"/>
                <w:sz w:val="24"/>
                <w:szCs w:val="24"/>
                <w:vertAlign w:val="baseline"/>
                <w:lang w:val="en-US"/>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在垃圾分类上再加力</w:t>
            </w:r>
          </w:p>
        </w:tc>
        <w:tc>
          <w:tcPr>
            <w:tcW w:w="719"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3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30"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预算管理（25分）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预算编制质量</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8</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部门是否严格按要求编制年初部门预算，年初预算编制的科学性和准确性</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6.82</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90"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支出执行进度</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6</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部门1至6月、1至10月预算执行情况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5.91</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35"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预算年终结余</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部门整体年终预算结余情况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3.82</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严控一般性支出</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5</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部门严控“三公”经费、会议、培训、差旅、办节办展、办公设备购置、信息网络及软件购置更新、课题经费等8项一般性支出情况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5</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50"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财务管理（10分）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财务管理制度</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部门财务管理制度建立情况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650"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财务岗位设置</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部门财务岗位设置是否符合相关财务管理制度要求</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605"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资金使用规范</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部门资金使用是否符合相关财务管理制度规定</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75"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资产管理（9分）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人均资产变化率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部门人均资产变化情况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2.4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30"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资产利用率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部门资产超最低使用年限情况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2.4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35" w:hRule="atLeast"/>
          <w:jc w:val="center"/>
        </w:trPr>
        <w:tc>
          <w:tcPr>
            <w:tcW w:w="100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p>
        </w:tc>
        <w:tc>
          <w:tcPr>
            <w:tcW w:w="1461"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资产盘活率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部门闲置一年以上的资产盘活情况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采购管理（6分）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支持中小企业发展</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部门是否严格执行政府采购促进中小企业发展相关管理办法</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0" w:hRule="atLeast"/>
          <w:jc w:val="center"/>
        </w:trPr>
        <w:tc>
          <w:tcPr>
            <w:tcW w:w="1003" w:type="dxa"/>
            <w:vMerge w:val="continue"/>
            <w:tcBorders>
              <w:left w:val="single" w:color="000000" w:sz="4" w:space="0"/>
              <w:bottom w:val="single" w:color="000000" w:sz="4" w:space="0"/>
              <w:right w:val="single" w:color="000000" w:sz="4" w:space="0"/>
            </w:tcBorders>
            <w:shd w:val="clear" w:color="auto" w:fill="auto"/>
            <w:noWrap/>
            <w:vAlign w:val="center"/>
          </w:tcPr>
          <w:p>
            <w:pPr>
              <w:rPr>
                <w:rFonts w:hint="eastAsia" w:ascii="宋体"/>
                <w:sz w:val="24"/>
                <w:szCs w:val="24"/>
              </w:rPr>
            </w:pPr>
          </w:p>
        </w:tc>
        <w:tc>
          <w:tcPr>
            <w:tcW w:w="1461"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采购执行率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部门政府采购项目资金支付比例情况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2.55</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720" w:hRule="atLeast"/>
          <w:jc w:val="center"/>
        </w:trPr>
        <w:tc>
          <w:tcPr>
            <w:tcW w:w="1003" w:type="dxa"/>
            <w:vMerge w:val="restart"/>
            <w:tcBorders>
              <w:top w:val="single" w:color="000000" w:sz="4" w:space="0"/>
              <w:left w:val="single" w:color="000000"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项目绩效（35分）</w:t>
            </w:r>
          </w:p>
        </w:tc>
        <w:tc>
          <w:tcPr>
            <w:tcW w:w="146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项目决策（12分）</w:t>
            </w:r>
          </w:p>
        </w:tc>
        <w:tc>
          <w:tcPr>
            <w:tcW w:w="166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决策程序</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部门预算项目设立是否按规定履行评估论证、申报程序</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目标设置</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部门预算项目绩效目标与计划期内的任务量、预算安排的资金量匹配情况，绩效目标设置是否科学合理、规范完整、量化细化、预算匹配</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3.96</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03" w:type="dxa"/>
            <w:vMerge w:val="continue"/>
            <w:tcBorders>
              <w:left w:val="single" w:color="000000" w:sz="4" w:space="0"/>
              <w:bottom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项目入库</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部门预算项目是否在规定时间完成项目入库</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0" w:hRule="atLeast"/>
          <w:jc w:val="center"/>
        </w:trPr>
        <w:tc>
          <w:tcPr>
            <w:tcW w:w="1003" w:type="dxa"/>
            <w:vMerge w:val="restart"/>
            <w:tcBorders>
              <w:top w:val="single" w:color="000000" w:sz="4" w:space="0"/>
              <w:left w:val="single" w:color="000000" w:sz="4" w:space="0"/>
              <w:right w:val="single" w:color="auto" w:sz="4" w:space="0"/>
            </w:tcBorders>
            <w:shd w:val="clear" w:color="auto" w:fill="auto"/>
            <w:noWrap/>
            <w:vAlign w:val="center"/>
          </w:tcPr>
          <w:p>
            <w:pPr>
              <w:rPr>
                <w:rFonts w:hint="eastAsia" w:ascii="宋体"/>
                <w:sz w:val="24"/>
                <w:szCs w:val="24"/>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项目绩效（35分）</w:t>
            </w:r>
          </w:p>
        </w:tc>
        <w:tc>
          <w:tcPr>
            <w:tcW w:w="1461"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项目执行（12分）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执行同向</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部门预算项目实际列支内容是否与绩效目标设置方向相符</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3.96</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jc w:val="center"/>
        </w:trPr>
        <w:tc>
          <w:tcPr>
            <w:tcW w:w="1003" w:type="dxa"/>
            <w:vMerge w:val="continue"/>
            <w:tcBorders>
              <w:left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项目调整</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部门预算项目是否采取对应调整措施</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70" w:hRule="atLeast"/>
          <w:jc w:val="center"/>
        </w:trPr>
        <w:tc>
          <w:tcPr>
            <w:tcW w:w="1003" w:type="dxa"/>
            <w:vMerge w:val="continue"/>
            <w:tcBorders>
              <w:left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执行结果</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部门预算项目预算执行情况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default"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3.76</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70" w:hRule="atLeast"/>
          <w:jc w:val="center"/>
        </w:trPr>
        <w:tc>
          <w:tcPr>
            <w:tcW w:w="1003" w:type="dxa"/>
            <w:vMerge w:val="continue"/>
            <w:tcBorders>
              <w:left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目标实现（11分）</w:t>
            </w: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目标完成</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部门预算项目绩效目标数量指标完成情况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740" w:hRule="atLeast"/>
          <w:jc w:val="center"/>
        </w:trPr>
        <w:tc>
          <w:tcPr>
            <w:tcW w:w="1003" w:type="dxa"/>
            <w:vMerge w:val="continue"/>
            <w:tcBorders>
              <w:left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目标偏离</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部门预算项目绩效目标数量指标实现程度与预期目标的偏离情况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4</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1003" w:type="dxa"/>
            <w:vMerge w:val="continue"/>
            <w:tcBorders>
              <w:left w:val="single" w:color="000000" w:sz="4" w:space="0"/>
              <w:bottom w:val="single" w:color="000000" w:sz="4" w:space="0"/>
              <w:right w:val="single" w:color="auto" w:sz="4" w:space="0"/>
            </w:tcBorders>
            <w:shd w:val="clear" w:color="auto" w:fill="auto"/>
            <w:noWrap/>
            <w:vAlign w:val="center"/>
          </w:tcPr>
          <w:p>
            <w:pPr>
              <w:rPr>
                <w:rFonts w:hint="eastAsia" w:ascii="宋体"/>
                <w:sz w:val="24"/>
                <w:szCs w:val="24"/>
              </w:rPr>
            </w:pPr>
          </w:p>
        </w:tc>
        <w:tc>
          <w:tcPr>
            <w:tcW w:w="1461"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宋体"/>
                <w:sz w:val="24"/>
                <w:szCs w:val="24"/>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实现效果</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部门预算项目绩效目标效益指标实施效果</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3</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扣分项（10分）</w:t>
            </w:r>
          </w:p>
        </w:tc>
        <w:tc>
          <w:tcPr>
            <w:tcW w:w="31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被评价部门配合度</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sz w:val="24"/>
                <w:szCs w:val="24"/>
                <w:vertAlign w:val="baseline"/>
                <w:lang w:val="en-US"/>
              </w:rPr>
            </w:pPr>
            <w:r>
              <w:rPr>
                <w:rFonts w:hint="eastAsia" w:ascii="方正仿宋_GBK" w:hAnsi="方正仿宋_GBK" w:eastAsia="方正仿宋_GBK" w:cs="方正仿宋_GBK"/>
                <w:b w:val="0"/>
                <w:bCs w:val="0"/>
                <w:caps w:val="0"/>
                <w:color w:val="000000"/>
                <w:kern w:val="0"/>
                <w:sz w:val="24"/>
                <w:szCs w:val="24"/>
                <w:vertAlign w:val="baseline"/>
                <w:lang w:val="en-US" w:eastAsia="zh-CN" w:bidi="ar"/>
              </w:rPr>
              <w:t>被评价对象工作配合情况</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c>
          <w:tcPr>
            <w:tcW w:w="47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left"/>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765"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b/>
                <w:bCs w:val="0"/>
                <w:caps w:val="0"/>
                <w:color w:val="000000"/>
                <w:kern w:val="0"/>
                <w:sz w:val="24"/>
                <w:szCs w:val="24"/>
                <w:vertAlign w:val="baseline"/>
                <w:lang w:val="en-US"/>
              </w:rPr>
            </w:pPr>
            <w:r>
              <w:rPr>
                <w:rFonts w:hint="eastAsia" w:ascii="方正仿宋_GBK" w:hAnsi="方正仿宋_GBK" w:eastAsia="方正仿宋_GBK" w:cs="方正仿宋_GBK"/>
                <w:b/>
                <w:bCs w:val="0"/>
                <w:caps w:val="0"/>
                <w:color w:val="000000"/>
                <w:kern w:val="0"/>
                <w:sz w:val="24"/>
                <w:szCs w:val="24"/>
                <w:vertAlign w:val="baseline"/>
                <w:lang w:val="en-US" w:eastAsia="zh-CN" w:bidi="ar"/>
              </w:rPr>
              <w:t>总分</w:t>
            </w:r>
          </w:p>
        </w:tc>
        <w:tc>
          <w:tcPr>
            <w:tcW w:w="9808" w:type="dxa"/>
            <w:gridSpan w:val="6"/>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exact"/>
              <w:ind w:left="0" w:right="0" w:firstLine="0"/>
              <w:jc w:val="center"/>
              <w:textAlignment w:val="center"/>
              <w:outlineLvl w:val="9"/>
              <w:rPr>
                <w:rFonts w:hint="eastAsia" w:ascii="方正仿宋_GBK" w:hAnsi="方正仿宋_GBK" w:eastAsia="方正仿宋_GBK" w:cs="方正仿宋_GBK"/>
                <w:caps w:val="0"/>
                <w:color w:val="000000"/>
                <w:kern w:val="0"/>
                <w:sz w:val="24"/>
                <w:szCs w:val="24"/>
                <w:vertAlign w:val="baseline"/>
                <w:lang w:val="en-US"/>
              </w:rPr>
            </w:pPr>
            <w:r>
              <w:rPr>
                <w:rFonts w:hint="eastAsia" w:ascii="方正仿宋_GBK" w:hAnsi="方正仿宋_GBK" w:eastAsia="方正仿宋_GBK" w:cs="方正仿宋_GBK"/>
                <w:caps w:val="0"/>
                <w:color w:val="000000"/>
                <w:kern w:val="0"/>
                <w:sz w:val="24"/>
                <w:szCs w:val="24"/>
                <w:vertAlign w:val="baseline"/>
                <w:lang w:val="en-US" w:eastAsia="zh-CN"/>
              </w:rPr>
              <w:t>94.58</w:t>
            </w:r>
          </w:p>
        </w:tc>
      </w:tr>
    </w:tbl>
    <w:p>
      <w:pPr>
        <w:pStyle w:val="17"/>
        <w:keepNext/>
        <w:keepLines/>
        <w:pageBreakBefore w:val="0"/>
        <w:widowControl/>
        <w:suppressLineNumbers w:val="0"/>
        <w:suppressAutoHyphens w:val="0"/>
        <w:kinsoku/>
        <w:wordWrap/>
        <w:overflowPunct/>
        <w:topLinePunct w:val="0"/>
        <w:autoSpaceDE/>
        <w:autoSpaceDN w:val="0"/>
        <w:bidi w:val="0"/>
        <w:adjustRightInd/>
        <w:snapToGrid/>
        <w:spacing w:before="280" w:beforeAutospacing="0" w:after="156" w:afterAutospacing="0" w:line="20" w:lineRule="exact"/>
        <w:ind w:left="0" w:right="0" w:firstLine="0"/>
        <w:jc w:val="left"/>
        <w:outlineLvl w:val="4"/>
        <w:rPr>
          <w:rFonts w:hint="default" w:ascii="Arial" w:hAnsi="Arial" w:eastAsia="黑体" w:cs="Arial"/>
          <w:caps w:val="0"/>
          <w:color w:val="auto"/>
          <w:sz w:val="24"/>
          <w:szCs w:val="24"/>
          <w:vertAlign w:val="baseline"/>
          <w:lang w:val="en-US"/>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p>
    <w:p>
      <w:pPr>
        <w:spacing w:line="578" w:lineRule="exact"/>
        <w:jc w:val="left"/>
        <w:rPr>
          <w:rFonts w:eastAsia="黑体"/>
        </w:rPr>
      </w:pPr>
      <w:r>
        <w:rPr>
          <w:rFonts w:eastAsia="黑体"/>
        </w:rPr>
        <w:t>附表</w:t>
      </w:r>
      <w:r>
        <w:rPr>
          <w:rFonts w:hint="eastAsia" w:eastAsia="黑体"/>
        </w:rPr>
        <w:t>2</w:t>
      </w:r>
    </w:p>
    <w:tbl>
      <w:tblPr>
        <w:tblStyle w:val="18"/>
        <w:tblW w:w="1056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374"/>
        <w:gridCol w:w="1281"/>
        <w:gridCol w:w="1273"/>
        <w:gridCol w:w="1100"/>
        <w:gridCol w:w="1145"/>
        <w:gridCol w:w="1493"/>
        <w:gridCol w:w="700"/>
        <w:gridCol w:w="219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62" w:hRule="exact"/>
          <w:jc w:val="center"/>
        </w:trPr>
        <w:tc>
          <w:tcPr>
            <w:tcW w:w="10560" w:type="dxa"/>
            <w:gridSpan w:val="8"/>
            <w:tcBorders>
              <w:top w:val="nil"/>
              <w:left w:val="nil"/>
              <w:bottom w:val="nil"/>
              <w:right w:val="nil"/>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textAlignment w:val="center"/>
              <w:outlineLvl w:val="9"/>
              <w:rPr>
                <w:rFonts w:hint="default" w:ascii="Times New Roman" w:hAnsi="Times New Roman" w:eastAsia="方正仿宋_GBK" w:cs="Times New Roman"/>
                <w:caps w:val="0"/>
                <w:color w:val="000000"/>
                <w:sz w:val="28"/>
                <w:szCs w:val="28"/>
                <w:vertAlign w:val="baseline"/>
                <w:lang w:val="en-US"/>
              </w:rPr>
            </w:pPr>
            <w:r>
              <w:rPr>
                <w:rFonts w:hint="default" w:ascii="Times New Roman" w:hAnsi="方正小标宋_GBK" w:eastAsia="方正小标宋_GBK" w:cs="Times New Roman"/>
                <w:b w:val="0"/>
                <w:bCs w:val="0"/>
                <w:caps w:val="0"/>
                <w:color w:val="000000"/>
                <w:kern w:val="0"/>
                <w:sz w:val="44"/>
                <w:szCs w:val="44"/>
                <w:vertAlign w:val="baseline"/>
                <w:lang w:val="en-US" w:eastAsia="zh-CN" w:bidi="ar"/>
              </w:rPr>
              <w:t>部门整体绩效目标完成情况自评表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560" w:type="dxa"/>
            <w:gridSpan w:val="8"/>
            <w:tcBorders>
              <w:top w:val="nil"/>
              <w:left w:val="nil"/>
              <w:bottom w:val="nil"/>
              <w:right w:val="nil"/>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8"/>
                <w:szCs w:val="28"/>
                <w:vertAlign w:val="baseline"/>
                <w:lang w:val="en-US"/>
              </w:rPr>
            </w:pPr>
            <w:r>
              <w:rPr>
                <w:rFonts w:hint="eastAsia" w:ascii="Times New Roman" w:hAnsi="方正仿宋_GBK" w:eastAsia="方正仿宋_GBK" w:cs="Times New Roman"/>
                <w:b w:val="0"/>
                <w:bCs w:val="0"/>
                <w:caps w:val="0"/>
                <w:color w:val="000000"/>
                <w:kern w:val="0"/>
                <w:sz w:val="28"/>
                <w:szCs w:val="28"/>
                <w:vertAlign w:val="baseline"/>
                <w:lang w:val="en-US" w:eastAsia="zh-CN" w:bidi="ar"/>
              </w:rPr>
              <w:t>（</w:t>
            </w:r>
            <w:r>
              <w:rPr>
                <w:rFonts w:hint="default" w:ascii="Times New Roman" w:hAnsi="Times New Roman" w:eastAsia="方正仿宋_GBK" w:cs="Times New Roman"/>
                <w:b w:val="0"/>
                <w:bCs w:val="0"/>
                <w:caps w:val="0"/>
                <w:color w:val="000000"/>
                <w:kern w:val="0"/>
                <w:sz w:val="28"/>
                <w:szCs w:val="28"/>
                <w:vertAlign w:val="baseline"/>
                <w:lang w:val="en-US" w:eastAsia="zh-CN" w:bidi="ar"/>
              </w:rPr>
              <w:t>202</w:t>
            </w:r>
            <w:r>
              <w:rPr>
                <w:rFonts w:hint="eastAsia" w:eastAsia="方正仿宋_GBK" w:cs="Times New Roman"/>
                <w:b w:val="0"/>
                <w:bCs w:val="0"/>
                <w:caps w:val="0"/>
                <w:color w:val="000000"/>
                <w:kern w:val="0"/>
                <w:sz w:val="28"/>
                <w:szCs w:val="28"/>
                <w:vertAlign w:val="baseline"/>
                <w:lang w:val="en-US" w:eastAsia="zh-CN" w:bidi="ar"/>
              </w:rPr>
              <w:t>5</w:t>
            </w:r>
            <w:r>
              <w:rPr>
                <w:rFonts w:hint="eastAsia" w:ascii="Times New Roman" w:hAnsi="方正仿宋_GBK" w:eastAsia="方正仿宋_GBK" w:cs="Times New Roman"/>
                <w:b w:val="0"/>
                <w:bCs w:val="0"/>
                <w:caps w:val="0"/>
                <w:color w:val="000000"/>
                <w:kern w:val="0"/>
                <w:sz w:val="28"/>
                <w:szCs w:val="28"/>
                <w:vertAlign w:val="baseline"/>
                <w:lang w:val="en-US" w:eastAsia="zh-CN" w:bidi="ar"/>
              </w:rPr>
              <w:t>年度）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0560" w:type="dxa"/>
            <w:gridSpan w:val="8"/>
            <w:tcBorders>
              <w:top w:val="nil"/>
              <w:left w:val="nil"/>
              <w:bottom w:val="single" w:color="000000" w:sz="4" w:space="0"/>
              <w:right w:val="nil"/>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right"/>
              <w:textAlignment w:val="center"/>
              <w:outlineLvl w:val="9"/>
              <w:rPr>
                <w:rFonts w:hint="default" w:ascii="Times New Roman" w:hAnsi="Times New Roman" w:eastAsia="方正仿宋_GBK" w:cs="Times New Roman"/>
                <w:caps w:val="0"/>
                <w:color w:val="000000"/>
                <w:sz w:val="21"/>
                <w:szCs w:val="21"/>
                <w:vertAlign w:val="baseline"/>
                <w:lang w:val="en-US"/>
              </w:rPr>
            </w:pPr>
            <w:r>
              <w:rPr>
                <w:rFonts w:hint="eastAsia" w:ascii="Times New Roman" w:hAnsi="方正仿宋_GBK" w:eastAsia="方正仿宋_GBK" w:cs="Times New Roman"/>
                <w:b w:val="0"/>
                <w:bCs w:val="0"/>
                <w:caps w:val="0"/>
                <w:color w:val="000000"/>
                <w:kern w:val="0"/>
                <w:sz w:val="21"/>
                <w:szCs w:val="21"/>
                <w:vertAlign w:val="baseline"/>
                <w:lang w:val="en-US" w:eastAsia="zh-CN" w:bidi="ar"/>
              </w:rPr>
              <w:t>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攀枝花市城市管理行政执法局</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年度部门整体支出预算</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其他资金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eastAsia="方正仿宋_GBK" w:cs="Times New Roman"/>
                <w:b w:val="0"/>
                <w:bCs w:val="0"/>
                <w:caps w:val="0"/>
                <w:color w:val="000000"/>
                <w:kern w:val="0"/>
                <w:sz w:val="24"/>
                <w:szCs w:val="24"/>
                <w:vertAlign w:val="baseline"/>
                <w:lang w:val="en-US" w:eastAsia="zh-CN" w:bidi="ar"/>
              </w:rPr>
              <w:t>8948.86</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eastAsia="方正仿宋_GBK" w:cs="Times New Roman"/>
                <w:b w:val="0"/>
                <w:bCs w:val="0"/>
                <w:caps w:val="0"/>
                <w:color w:val="000000"/>
                <w:kern w:val="0"/>
                <w:sz w:val="24"/>
                <w:szCs w:val="24"/>
                <w:vertAlign w:val="baseline"/>
                <w:lang w:val="en-US" w:eastAsia="zh-CN" w:bidi="ar"/>
              </w:rPr>
              <w:t>8948.86</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8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年度总体</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8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p>
        </w:tc>
        <w:tc>
          <w:tcPr>
            <w:tcW w:w="918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8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：开展重点项目工作</w:t>
            </w:r>
            <w:r>
              <w:rPr>
                <w:rFonts w:hint="eastAsia" w:hAnsi="方正仿宋_GBK" w:eastAsia="方正仿宋_GBK" w:cs="Times New Roman"/>
                <w:b w:val="0"/>
                <w:bCs w:val="0"/>
                <w:caps w:val="0"/>
                <w:color w:val="000000"/>
                <w:kern w:val="0"/>
                <w:sz w:val="24"/>
                <w:szCs w:val="24"/>
                <w:vertAlign w:val="baseline"/>
                <w:lang w:val="en-US" w:eastAsia="zh-CN" w:bidi="ar"/>
              </w:rPr>
              <w:t>，开展城管系统重点项目部署、调研和包装工作，积极对接住房城乡建设厅寻求重点工作资金和政策支持。</w:t>
            </w:r>
            <w:r>
              <w:rPr>
                <w:rFonts w:hint="default" w:ascii="Times New Roman" w:hAnsi="Times New Roman" w:eastAsia="方正仿宋_GBK" w:cs="Times New Roman"/>
                <w:b w:val="0"/>
                <w:bCs w:val="0"/>
                <w:caps w:val="0"/>
                <w:color w:val="000000"/>
                <w:kern w:val="0"/>
                <w:sz w:val="24"/>
                <w:szCs w:val="24"/>
                <w:vertAlign w:val="baseline"/>
                <w:lang w:val="en-US" w:eastAsia="zh-CN" w:bidi="ar"/>
              </w:rPr>
              <w:t xml:space="preserve">                                                                                        </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2</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：强化城管执法保障</w:t>
            </w:r>
            <w:r>
              <w:rPr>
                <w:rFonts w:hint="eastAsia" w:hAnsi="方正仿宋_GBK" w:eastAsia="方正仿宋_GBK" w:cs="Times New Roman"/>
                <w:b w:val="0"/>
                <w:bCs w:val="0"/>
                <w:caps w:val="0"/>
                <w:color w:val="000000"/>
                <w:kern w:val="0"/>
                <w:sz w:val="24"/>
                <w:szCs w:val="24"/>
                <w:vertAlign w:val="baseline"/>
                <w:lang w:val="en-US" w:eastAsia="zh-CN" w:bidi="ar"/>
              </w:rPr>
              <w:t>，加强城管执法队伍规范管理，加大业务培训学习力度，加强执法物资和装备保障，打造强有力执法队伍。</w:t>
            </w:r>
            <w:r>
              <w:rPr>
                <w:rFonts w:hint="default" w:ascii="Times New Roman" w:hAnsi="Times New Roman" w:eastAsia="方正仿宋_GBK" w:cs="Times New Roman"/>
                <w:b w:val="0"/>
                <w:bCs w:val="0"/>
                <w:caps w:val="0"/>
                <w:color w:val="000000"/>
                <w:kern w:val="0"/>
                <w:sz w:val="24"/>
                <w:szCs w:val="24"/>
                <w:vertAlign w:val="baseline"/>
                <w:lang w:val="en-US" w:eastAsia="zh-CN" w:bidi="ar"/>
              </w:rPr>
              <w:t xml:space="preserve">                                                                                                           </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3</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：提升城市管理数字化、智能化水平</w:t>
            </w:r>
            <w:r>
              <w:rPr>
                <w:rFonts w:hint="eastAsia" w:hAnsi="方正仿宋_GBK" w:eastAsia="方正仿宋_GBK" w:cs="Times New Roman"/>
                <w:b w:val="0"/>
                <w:bCs w:val="0"/>
                <w:caps w:val="0"/>
                <w:color w:val="000000"/>
                <w:kern w:val="0"/>
                <w:sz w:val="24"/>
                <w:szCs w:val="24"/>
                <w:vertAlign w:val="baseline"/>
                <w:lang w:val="en-US" w:eastAsia="zh-CN" w:bidi="ar"/>
              </w:rPr>
              <w:t>。加强科技手段运用，持续完善提升数字城管运管水平，探索提升市政基础设施日常管理智能化水平。</w:t>
            </w:r>
            <w:r>
              <w:rPr>
                <w:rFonts w:hint="default" w:ascii="Times New Roman" w:hAnsi="Times New Roman" w:eastAsia="方正仿宋_GBK" w:cs="Times New Roman"/>
                <w:b w:val="0"/>
                <w:bCs w:val="0"/>
                <w:caps w:val="0"/>
                <w:color w:val="000000"/>
                <w:kern w:val="0"/>
                <w:sz w:val="24"/>
                <w:szCs w:val="24"/>
                <w:vertAlign w:val="baseline"/>
                <w:lang w:val="en-US" w:eastAsia="zh-CN" w:bidi="ar"/>
              </w:rPr>
              <w:t xml:space="preserve">                                                                                            </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4</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：加强城市市容市貌常态化管理</w:t>
            </w:r>
            <w:r>
              <w:rPr>
                <w:rFonts w:hint="eastAsia" w:hAnsi="方正仿宋_GBK" w:eastAsia="方正仿宋_GBK" w:cs="Times New Roman"/>
                <w:b w:val="0"/>
                <w:bCs w:val="0"/>
                <w:caps w:val="0"/>
                <w:color w:val="000000"/>
                <w:kern w:val="0"/>
                <w:sz w:val="24"/>
                <w:szCs w:val="24"/>
                <w:vertAlign w:val="baseline"/>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restart"/>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年度主要</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任务</w:t>
            </w: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主要内容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：全力推进燃气基础设施改造。</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加大2025年老旧燃气管网项目包装力度，力争2025年7个项目全部纳入支持范围，力争全市完成管网更新150公里、天然气置换2万户，推动盐边城市支线、红格城市支线等项目开工，以红格、金江等中心镇为试点开展点供管网建设。</w:t>
            </w:r>
            <w:r>
              <w:rPr>
                <w:rFonts w:hint="default" w:ascii="Times New Roman" w:hAnsi="Times New Roman" w:eastAsia="方正仿宋_GBK" w:cs="Times New Roman"/>
                <w:b w:val="0"/>
                <w:bCs w:val="0"/>
                <w:caps w:val="0"/>
                <w:color w:val="000000"/>
                <w:kern w:val="0"/>
                <w:sz w:val="24"/>
                <w:szCs w:val="24"/>
                <w:vertAlign w:val="baseline"/>
                <w:lang w:val="en-US" w:eastAsia="zh-CN" w:bidi="ar"/>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5" w:hRule="atLeast"/>
          <w:jc w:val="center"/>
        </w:trPr>
        <w:tc>
          <w:tcPr>
            <w:tcW w:w="1374"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2</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：多形式开展城区增绿。</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全面支持攀枝花公园改造提升，积极推进参与银江湖片区公园、铜锣湾中轴景观带、阳光花城社区公园等项目建设，完善城市公园绿地体系；将边坡挡墙等立面绿化纳入“花城”打造重点任务，持续推进立体绿化，逐步扩大立体绿化建设成果。</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3</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：系统梳理工作中的缺项漏项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加大燃气用户端安全、建筑垃圾治理、违建治理、广告店招治理、城市公厕管理、绿化成果保护等工作力度，推动城市管理成果更多更公平惠及全体市民。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tcBorders>
              <w:top w:val="nil"/>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4</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：提升城市综合管理数字化与智能化水平</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全面整合部门、行业数据资源，为城市管理状况描述、诊断、决策、反馈、控制提供系统、精准、科学的大数据分析决策；逐步分项建立完善城市生活垃圾填报及查询平台、燃气管网管控一体化平台、液化石油气线上溯源安全系统等数字化管理专用平台，实现对重点行业、重点区域、重点时段、重点对象的全天候监测和精准化调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680" w:hRule="atLeast"/>
          <w:jc w:val="center"/>
        </w:trPr>
        <w:tc>
          <w:tcPr>
            <w:tcW w:w="1374" w:type="dxa"/>
            <w:tcBorders>
              <w:top w:val="nil"/>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p>
        </w:tc>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目标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5</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：不断完善城市管理的法治与规范体系</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强化行业部门与城管执法部门的联合协作，建立市、县（区）、街道和部门联系协调制度，加强执法人员管理常识及执法技能培训，定期组织执法案卷评查和典型指导案例发布活动，探索建立执法装备共享机制，提高执法装备的使用效率和效益，推动行政执法规范标准、文明公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3" w:hRule="atLeast"/>
          <w:jc w:val="center"/>
        </w:trPr>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年度绩效</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绩效指标</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性质</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绩效指标值</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绩效度量单位</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实际完成</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：气化全攀</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推进燃气管网新建、改造超150公里，天然气置换完成2万户</w:t>
            </w:r>
            <w:r>
              <w:rPr>
                <w:rFonts w:hint="eastAsia" w:hAnsi="方正仿宋_GBK" w:eastAsia="方正仿宋_GBK" w:cs="Times New Roman"/>
                <w:b w:val="0"/>
                <w:bCs w:val="0"/>
                <w:caps w:val="0"/>
                <w:color w:val="000000"/>
                <w:kern w:val="0"/>
                <w:sz w:val="24"/>
                <w:szCs w:val="24"/>
                <w:vertAlign w:val="baseline"/>
                <w:lang w:val="en-US" w:eastAsia="zh-CN" w:bidi="ar"/>
              </w:rPr>
              <w:t>，重大项目包装不少于7个</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户</w:t>
            </w:r>
            <w:r>
              <w:rPr>
                <w:rFonts w:hint="default" w:ascii="Times New Roman" w:hAnsi="Times New Roman" w:eastAsia="方正仿宋_GBK" w:cs="Times New Roman"/>
                <w:b w:val="0"/>
                <w:bCs w:val="0"/>
                <w:caps w:val="0"/>
                <w:color w:val="000000"/>
                <w:kern w:val="2"/>
                <w:sz w:val="24"/>
                <w:szCs w:val="24"/>
                <w:vertAlign w:val="baseline"/>
                <w:lang w:val="en-US" w:eastAsia="zh-CN" w:bidi="ar"/>
              </w:rPr>
              <w:t>/</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公里</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完成老化燃气管道改造151.5公里，天然气置换2.03万户，申报燃气领域项目9个。</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15"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2</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：城市花化</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结合“国球进公园”活动，</w:t>
            </w:r>
            <w:r>
              <w:rPr>
                <w:rFonts w:hint="eastAsia" w:hAnsi="方正仿宋_GBK" w:eastAsia="方正仿宋_GBK" w:cs="Times New Roman"/>
                <w:b w:val="0"/>
                <w:bCs w:val="0"/>
                <w:caps w:val="0"/>
                <w:color w:val="000000"/>
                <w:kern w:val="0"/>
                <w:sz w:val="24"/>
                <w:szCs w:val="24"/>
                <w:vertAlign w:val="baseline"/>
                <w:lang w:val="en-US" w:eastAsia="zh-CN" w:bidi="ar"/>
              </w:rPr>
              <w:t>完成项目不少于2个，</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不断做优城市绿心多元价值</w:t>
            </w:r>
            <w:r>
              <w:rPr>
                <w:rFonts w:hint="eastAsia" w:hAnsi="方正仿宋_GBK" w:eastAsia="方正仿宋_GBK" w:cs="Times New Roman"/>
                <w:b w:val="0"/>
                <w:bCs w:val="0"/>
                <w:caps w:val="0"/>
                <w:color w:val="000000"/>
                <w:kern w:val="0"/>
                <w:sz w:val="24"/>
                <w:szCs w:val="24"/>
                <w:vertAlign w:val="baseline"/>
                <w:lang w:val="en-US" w:eastAsia="zh-CN" w:bidi="ar"/>
              </w:rPr>
              <w:t>，新建和改造口袋公园20个。</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hAnsi="方正仿宋_GBK" w:eastAsia="方正仿宋_GBK" w:cs="Times New Roman"/>
                <w:b w:val="0"/>
                <w:bCs w:val="0"/>
                <w:caps w:val="0"/>
                <w:color w:val="000000"/>
                <w:kern w:val="0"/>
                <w:sz w:val="24"/>
                <w:szCs w:val="24"/>
                <w:vertAlign w:val="baseline"/>
                <w:lang w:val="en-US" w:eastAsia="zh-CN" w:bidi="ar"/>
              </w:rPr>
              <w:t>个</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新建和改造24个口袋公园，完成2个“国球”进公园项目、8条城市主干道绿化整治项目，栽植各类苗木6.72万株，城市建成区绿化覆盖率已达到43%以上</w:t>
            </w:r>
            <w:r>
              <w:rPr>
                <w:rFonts w:hint="eastAsia" w:hAnsi="方正仿宋_GBK" w:eastAsia="方正仿宋_GBK" w:cs="Times New Roman"/>
                <w:b w:val="0"/>
                <w:bCs w:val="0"/>
                <w:caps w:val="0"/>
                <w:color w:val="000000"/>
                <w:kern w:val="0"/>
                <w:sz w:val="24"/>
                <w:szCs w:val="24"/>
                <w:vertAlign w:val="baseline"/>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870"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0"/>
                <w:sz w:val="24"/>
                <w:szCs w:val="24"/>
                <w:vertAlign w:val="baseline"/>
                <w:lang w:val="en-US" w:eastAsia="zh-CN" w:bidi="ar"/>
              </w:rPr>
              <w:t>3</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：垃圾分类</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农村生活垃圾收运处置覆盖率100%，城区生活垃圾分类回收利用率40%，资源化利用率8</w:t>
            </w:r>
            <w:r>
              <w:rPr>
                <w:rFonts w:hint="eastAsia" w:hAnsi="方正仿宋_GBK" w:eastAsia="方正仿宋_GBK" w:cs="Times New Roman"/>
                <w:b w:val="0"/>
                <w:bCs w:val="0"/>
                <w:caps w:val="0"/>
                <w:color w:val="000000"/>
                <w:kern w:val="0"/>
                <w:sz w:val="24"/>
                <w:szCs w:val="24"/>
                <w:vertAlign w:val="baseline"/>
                <w:lang w:val="en-US" w:eastAsia="zh-CN" w:bidi="ar"/>
              </w:rPr>
              <w:t>0</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w:t>
            </w:r>
            <w:r>
              <w:rPr>
                <w:rFonts w:hint="eastAsia" w:hAnsi="方正仿宋_GBK" w:eastAsia="方正仿宋_GBK" w:cs="Times New Roman"/>
                <w:b w:val="0"/>
                <w:bCs w:val="0"/>
                <w:caps w:val="0"/>
                <w:color w:val="000000"/>
                <w:kern w:val="0"/>
                <w:sz w:val="24"/>
                <w:szCs w:val="24"/>
                <w:vertAlign w:val="baseline"/>
                <w:lang w:val="en-US" w:eastAsia="zh-CN" w:bidi="ar"/>
              </w:rPr>
              <w:t>以上</w:t>
            </w:r>
            <w:r>
              <w:rPr>
                <w:rFonts w:hint="eastAsia" w:ascii="Times New Roman" w:hAnsi="方正仿宋_GBK" w:eastAsia="方正仿宋_GBK" w:cs="Times New Roman"/>
                <w:b w:val="0"/>
                <w:bCs w:val="0"/>
                <w:caps w:val="0"/>
                <w:color w:val="000000"/>
                <w:kern w:val="0"/>
                <w:sz w:val="24"/>
                <w:szCs w:val="24"/>
                <w:vertAlign w:val="baseli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新建城市公厕6座，升级改造81座公厕、生活垃圾分类收集点610个，全市农村生活垃圾收运处置覆盖率100%，城区生活垃圾分类回收利用率40%，资源化利用率85%。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504"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4</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w:t>
            </w:r>
            <w:r>
              <w:rPr>
                <w:rFonts w:hint="default" w:ascii="Times New Roman" w:hAnsi="Times New Roman" w:eastAsia="方正仿宋_GBK" w:cs="Times New Roman"/>
                <w:b w:val="0"/>
                <w:bCs w:val="0"/>
                <w:caps w:val="0"/>
                <w:color w:val="000000"/>
                <w:kern w:val="2"/>
                <w:sz w:val="24"/>
                <w:szCs w:val="24"/>
                <w:vertAlign w:val="baseline"/>
                <w:lang w:val="en-US" w:eastAsia="zh-CN" w:bidi="ar"/>
              </w:rPr>
              <w:t>城市管理</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实现 12345热线与基层治理同步推动、深度融合</w:t>
            </w:r>
            <w:r>
              <w:rPr>
                <w:rFonts w:hint="eastAsia" w:hAnsi="方正仿宋_GBK" w:eastAsia="方正仿宋_GBK" w:cs="Times New Roman"/>
                <w:b w:val="0"/>
                <w:bCs w:val="0"/>
                <w:caps w:val="0"/>
                <w:color w:val="000000"/>
                <w:kern w:val="2"/>
                <w:sz w:val="24"/>
                <w:szCs w:val="24"/>
                <w:vertAlign w:val="baseline"/>
                <w:lang w:val="en-US" w:eastAsia="zh-CN" w:bidi="ar"/>
              </w:rPr>
              <w:t>，12345热线工单按时办结率100%，满意率95%以上。</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hAnsi="方正仿宋_GBK" w:eastAsia="方正仿宋_GBK" w:cs="Times New Roman"/>
                <w:b w:val="0"/>
                <w:bCs w:val="0"/>
                <w:caps w:val="0"/>
                <w:color w:val="000000"/>
                <w:kern w:val="2"/>
                <w:sz w:val="24"/>
                <w:szCs w:val="24"/>
                <w:vertAlign w:val="baseline"/>
                <w:lang w:val="en-US" w:eastAsia="zh-CN" w:bidi="ar"/>
              </w:rPr>
              <w:t>%</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实现“一号通”便民服务工作模式，派单时间缩至3.5分钟，受理各类问题2.5万余件，按时办结率100%，满意率97.35%；拓展“热线+”工作，1769户商家入驻平台，提供“一站式”便捷生活服务。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任务完成质量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圆满完成年度各项目标任务。</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任务完成及时率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2"/>
                <w:sz w:val="24"/>
                <w:szCs w:val="24"/>
                <w:vertAlign w:val="baseline"/>
                <w:lang w:val="en-US" w:eastAsia="zh-CN" w:bidi="ar"/>
              </w:rPr>
              <w:t>≥95%</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效益指标</w:t>
            </w:r>
          </w:p>
        </w:tc>
        <w:tc>
          <w:tcPr>
            <w:tcW w:w="1273" w:type="dxa"/>
            <w:vMerge w:val="restart"/>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社会效益</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：保障职工权益</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有利于各项工作的顺利开展</w:t>
            </w:r>
            <w:r>
              <w:rPr>
                <w:rFonts w:hint="default" w:ascii="Times New Roman" w:hAnsi="Times New Roman" w:eastAsia="方正仿宋_GBK" w:cs="Times New Roman"/>
                <w:b w:val="0"/>
                <w:bCs w:val="0"/>
                <w:caps w:val="0"/>
                <w:color w:val="000000"/>
                <w:kern w:val="2"/>
                <w:sz w:val="24"/>
                <w:szCs w:val="24"/>
                <w:vertAlign w:val="baseline"/>
                <w:lang w:val="en-US" w:eastAsia="zh-CN" w:bidi="ar"/>
              </w:rPr>
              <w:tab/>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2</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：保证机关运转</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保障机关工作日常运转，加强城市管理，有利于维护社会稳定、化解社会矛盾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155"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3</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：保证特定项目正常实施</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保障专项工作正常开展，加强城市管理，有利于维护社会稳定、化解社会矛盾</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715"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：经济效益</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资金使用不超出预算下达数，杜绝资金浪费，严格资金管理</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hAnsi="方正仿宋_GBK" w:eastAsia="方正仿宋_GBK" w:cs="Times New Roman"/>
                <w:b w:val="0"/>
                <w:bCs w:val="0"/>
                <w:caps w:val="0"/>
                <w:color w:val="000000"/>
                <w:kern w:val="2"/>
                <w:sz w:val="24"/>
                <w:szCs w:val="24"/>
                <w:vertAlign w:val="baseline"/>
                <w:lang w:val="en-US" w:eastAsia="zh-CN" w:bidi="ar"/>
              </w:rPr>
              <w:t>资金使用未超出预算下达数，</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未造成资金浪费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65"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生态效益</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kern w:val="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：改善生态环境。</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定性</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全面做好“花”文章，继续督导各县区、市级有关部门，对标花城打造年度计划，多形式促绿量增加。</w:t>
            </w:r>
            <w:r>
              <w:rPr>
                <w:rFonts w:hint="default" w:ascii="Times New Roman" w:hAnsi="Times New Roman" w:eastAsia="方正仿宋_GBK" w:cs="Times New Roman"/>
                <w:b w:val="0"/>
                <w:bCs w:val="0"/>
                <w:caps w:val="0"/>
                <w:color w:val="000000"/>
                <w:kern w:val="2"/>
                <w:sz w:val="24"/>
                <w:szCs w:val="24"/>
                <w:vertAlign w:val="baseline"/>
                <w:lang w:val="en-US" w:eastAsia="zh-CN" w:bidi="ar"/>
              </w:rPr>
              <w:tab/>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新建和改造24个口袋公园，完成2个“国球”进公园项目、8条城市主干道绿化整治项目，栽植各类苗木6.72万株，城市建成区绿化覆盖率已达到43%以上，攀枝花公园新引进动物种类29种298只，提升城市空间品质。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rPr>
                <w:rFonts w:hint="eastAsia" w:ascii="宋体"/>
                <w:sz w:val="24"/>
                <w:szCs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textAlignment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0"/>
                <w:sz w:val="24"/>
                <w:szCs w:val="24"/>
                <w:vertAlign w:val="baseli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2"/>
                <w:sz w:val="24"/>
                <w:szCs w:val="24"/>
                <w:vertAlign w:val="baseline"/>
                <w:lang w:val="en-US" w:eastAsia="zh-CN" w:bidi="ar"/>
              </w:rPr>
              <w:t xml:space="preserve"> </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指标</w:t>
            </w:r>
            <w:r>
              <w:rPr>
                <w:rFonts w:hint="default" w:ascii="Times New Roman" w:hAnsi="Times New Roman" w:eastAsia="方正仿宋_GBK" w:cs="Times New Roman"/>
                <w:b w:val="0"/>
                <w:bCs w:val="0"/>
                <w:caps w:val="0"/>
                <w:color w:val="000000"/>
                <w:kern w:val="2"/>
                <w:sz w:val="24"/>
                <w:szCs w:val="24"/>
                <w:vertAlign w:val="baseline"/>
                <w:lang w:val="en-US" w:eastAsia="zh-CN" w:bidi="ar"/>
              </w:rPr>
              <w:t>1</w:t>
            </w:r>
            <w:r>
              <w:rPr>
                <w:rFonts w:hint="eastAsia" w:ascii="Times New Roman" w:hAnsi="方正仿宋_GBK" w:eastAsia="方正仿宋_GBK" w:cs="Times New Roman"/>
                <w:b w:val="0"/>
                <w:bCs w:val="0"/>
                <w:caps w:val="0"/>
                <w:color w:val="000000"/>
                <w:kern w:val="2"/>
                <w:sz w:val="24"/>
                <w:szCs w:val="24"/>
                <w:vertAlign w:val="baseline"/>
                <w:lang w:val="en-US" w:eastAsia="zh-CN" w:bidi="ar"/>
              </w:rPr>
              <w:t>：服务对象满意度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r>
              <w:rPr>
                <w:rFonts w:hint="default" w:ascii="Times New Roman" w:hAnsi="Times New Roman" w:eastAsia="方正仿宋_GBK" w:cs="Times New Roman"/>
                <w:b w:val="0"/>
                <w:bCs w:val="0"/>
                <w:caps w:val="0"/>
                <w:color w:val="000000"/>
                <w:kern w:val="0"/>
                <w:sz w:val="24"/>
                <w:szCs w:val="24"/>
                <w:vertAlign w:val="baseline"/>
                <w:lang w:val="en-US" w:eastAsia="zh-CN" w:bidi="ar"/>
              </w:rPr>
              <w:t>90%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left"/>
              <w:outlineLvl w:val="9"/>
              <w:rPr>
                <w:rFonts w:hint="default" w:ascii="Times New Roman" w:hAnsi="Times New Roman" w:eastAsia="方正仿宋_GBK" w:cs="Times New Roman"/>
                <w:caps w:val="0"/>
                <w:color w:val="000000"/>
                <w:sz w:val="24"/>
                <w:szCs w:val="24"/>
                <w:vertAlign w:val="baseline"/>
                <w:lang w:val="en-US"/>
              </w:rPr>
            </w:pP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15" w:type="dxa"/>
              <w:right w:w="15" w:type="dxa"/>
            </w:tcMar>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00" w:lineRule="exact"/>
              <w:ind w:left="0" w:right="0" w:firstLine="0"/>
              <w:jc w:val="center"/>
              <w:outlineLvl w:val="9"/>
              <w:rPr>
                <w:rFonts w:hint="default" w:ascii="Times New Roman" w:hAnsi="Times New Roman" w:eastAsia="方正仿宋_GBK" w:cs="Times New Roman"/>
                <w:caps w:val="0"/>
                <w:color w:val="000000"/>
                <w:sz w:val="24"/>
                <w:szCs w:val="24"/>
                <w:vertAlign w:val="baseline"/>
                <w:lang w:val="en-US"/>
              </w:rPr>
            </w:pPr>
            <w:r>
              <w:rPr>
                <w:rFonts w:hint="eastAsia" w:ascii="Times New Roman" w:hAnsi="方正仿宋_GBK" w:eastAsia="方正仿宋_GBK" w:cs="Times New Roman"/>
                <w:b w:val="0"/>
                <w:bCs w:val="0"/>
                <w:caps w:val="0"/>
                <w:color w:val="000000"/>
                <w:kern w:val="2"/>
                <w:sz w:val="24"/>
                <w:szCs w:val="24"/>
                <w:vertAlign w:val="baseline"/>
                <w:lang w:val="en-US" w:eastAsia="zh-CN" w:bidi="ar"/>
              </w:rPr>
              <w:t>完成</w:t>
            </w:r>
          </w:p>
        </w:tc>
      </w:tr>
    </w:tbl>
    <w:p>
      <w:pPr>
        <w:rPr>
          <w:rFonts w:eastAsia="黑体"/>
          <w:sz w:val="24"/>
        </w:rPr>
      </w:pPr>
    </w:p>
    <w:p>
      <w:pPr>
        <w:pStyle w:val="2"/>
        <w:spacing w:before="0" w:after="0" w:line="578" w:lineRule="exact"/>
        <w:ind w:firstLine="481" w:firstLineChars="200"/>
      </w:pPr>
    </w:p>
    <w:p>
      <w:pPr>
        <w:pStyle w:val="8"/>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120" w:afterAutospacing="0" w:line="560" w:lineRule="exact"/>
        <w:ind w:left="420" w:leftChars="200" w:right="0" w:firstLine="0" w:firstLineChars="0"/>
        <w:jc w:val="both"/>
        <w:outlineLvl w:val="9"/>
        <w:rPr>
          <w:rFonts w:hint="default" w:ascii="Times New Roman" w:hAnsi="Times New Roman" w:eastAsia="宋体" w:cs="Times New Roman"/>
          <w:caps w:val="0"/>
          <w:color w:val="auto"/>
          <w:sz w:val="32"/>
          <w:szCs w:val="32"/>
          <w:highlight w:val="yellow"/>
          <w:vertAlign w:val="baseline"/>
          <w:lang w:val="zh-CN" w:eastAsia="zh-CN"/>
        </w:rPr>
      </w:pPr>
    </w:p>
    <w:p>
      <w:pPr>
        <w:pStyle w:val="17"/>
        <w:keepNext w:val="0"/>
        <w:keepLines w:val="0"/>
        <w:pageBreakBefore w:val="0"/>
        <w:widowControl w:val="0"/>
        <w:suppressLineNumbers w:val="0"/>
        <w:suppressAutoHyphens w:val="0"/>
        <w:kinsoku/>
        <w:wordWrap/>
        <w:overflowPunct/>
        <w:topLinePunct w:val="0"/>
        <w:autoSpaceDE/>
        <w:autoSpaceDN w:val="0"/>
        <w:bidi w:val="0"/>
        <w:adjustRightInd/>
        <w:snapToGrid/>
        <w:spacing w:before="72" w:beforeLines="30" w:beforeAutospacing="0" w:after="0" w:afterAutospacing="0" w:line="240" w:lineRule="auto"/>
        <w:ind w:left="0" w:right="0" w:firstLine="0"/>
        <w:jc w:val="both"/>
        <w:outlineLvl w:val="9"/>
        <w:rPr>
          <w:rFonts w:hint="default" w:ascii="Times New Roman" w:hAnsi="Times New Roman" w:eastAsia="仿宋_GB2312" w:cs="宋体"/>
          <w:caps w:val="0"/>
          <w:color w:val="FF0000"/>
          <w:kern w:val="0"/>
          <w:sz w:val="32"/>
          <w:szCs w:val="32"/>
          <w:highlight w:val="yellow"/>
          <w:shd w:val="clear" w:fill="FFFFFF"/>
          <w:vertAlign w:val="baseline"/>
          <w:lang w:val="zh-CN"/>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Times New Roman" w:hAnsi="Times New Roman" w:eastAsia="黑体" w:cs="黑体"/>
          <w:color w:val="auto"/>
          <w:kern w:val="0"/>
          <w:sz w:val="32"/>
          <w:szCs w:val="32"/>
          <w:highlight w:val="none"/>
          <w:shd w:val="clear" w:color="auto" w:fill="FFFFFF"/>
          <w:lang w:val="zh-CN"/>
        </w:rPr>
      </w:pPr>
      <w:r>
        <w:rPr>
          <w:rFonts w:hint="default" w:ascii="Times New Roman" w:hAnsi="Times New Roman" w:eastAsia="黑体" w:cs="黑体"/>
          <w:b w:val="0"/>
          <w:bCs w:val="0"/>
          <w:caps w:val="0"/>
          <w:color w:val="auto"/>
          <w:kern w:val="0"/>
          <w:sz w:val="32"/>
          <w:szCs w:val="32"/>
          <w:shd w:val="clear" w:fill="FFFFFF"/>
          <w:vertAlign w:val="baseline"/>
          <w:lang w:val="zh-CN" w:eastAsia="zh-CN" w:bidi="ar"/>
        </w:rPr>
        <w:br w:type="page"/>
      </w:r>
    </w:p>
    <w:p>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（攀枝花市“四季花城”绿化专项规划编制费用）</w:t>
      </w:r>
    </w:p>
    <w:p>
      <w:pPr>
        <w:pStyle w:val="36"/>
        <w:spacing w:line="600" w:lineRule="exact"/>
        <w:ind w:firstLine="640"/>
        <w:jc w:val="center"/>
        <w:rPr>
          <w:rFonts w:ascii="Times New Roman" w:hAnsi="Times New Roman"/>
          <w:color w:val="000000" w:themeColor="text1"/>
          <w:kern w:val="2"/>
          <w:sz w:val="32"/>
          <w:szCs w:val="32"/>
          <w:lang w:val="en-US"/>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一、项目概况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（一）项目基本情况。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市城管执法局作为本项目的采购主体，负责攀枝花市“四季花城”绿化专项规划编制项目的全流程管理。具体职能包括：组织项目采购、签订及履行合同、按计划下达任务、开展全过程监督与考核、组织履约验收，并依据合同约定及财政审批程序，协助成交供应商办理费用支付等。</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2.项目立项、资金申报的依据。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本项目严格依据《中华人民共和国政府采购法》及相关规定进行申报。资金申报基于项目采购结果，经财政审批后纳入年度部门预算。</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zh-CN" w:eastAsia="zh-CN" w:bidi="ar-SA"/>
        </w:rPr>
        <w:t>资金管理办法制定情况，资金支持具体项目的条件、范围与支持方式概况。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资金管理办法：</w:t>
      </w:r>
      <w:r>
        <w:rPr>
          <w:rFonts w:hint="eastAsia" w:ascii="Times New Roman" w:hAnsi="Times New Roman" w:eastAsia="仿宋_GB2312" w:cs="仿宋_GB2312"/>
          <w:b w:val="0"/>
          <w:bCs w:val="0"/>
          <w:kern w:val="0"/>
          <w:position w:val="0"/>
          <w:sz w:val="32"/>
          <w:szCs w:val="32"/>
          <w:highlight w:val="none"/>
          <w:lang w:val="zh-CN" w:eastAsia="zh-CN" w:bidi="ar-SA"/>
        </w:rPr>
        <w:t>严格执行国家、省、市有关财政资金管理和政府采购的相关规章制度，确保资金使用的规范性、安全性和有效性。</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支持条件与范围：</w:t>
      </w:r>
      <w:r>
        <w:rPr>
          <w:rFonts w:hint="eastAsia" w:ascii="Times New Roman" w:hAnsi="Times New Roman" w:eastAsia="仿宋_GB2312" w:cs="仿宋_GB2312"/>
          <w:b w:val="0"/>
          <w:bCs w:val="0"/>
          <w:kern w:val="0"/>
          <w:position w:val="0"/>
          <w:sz w:val="32"/>
          <w:szCs w:val="32"/>
          <w:highlight w:val="none"/>
          <w:lang w:val="zh-CN" w:eastAsia="zh-CN" w:bidi="ar-SA"/>
        </w:rPr>
        <w:t>资金支持基于政府采购结果，专项用于“四季花城”绿化专项规划编制的人工服务费、技术咨询费及相关设计费用。</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支持方式：</w:t>
      </w:r>
      <w:r>
        <w:rPr>
          <w:rFonts w:hint="eastAsia" w:ascii="Times New Roman" w:hAnsi="Times New Roman" w:eastAsia="仿宋_GB2312" w:cs="仿宋_GB2312"/>
          <w:b w:val="0"/>
          <w:bCs w:val="0"/>
          <w:kern w:val="0"/>
          <w:position w:val="0"/>
          <w:sz w:val="32"/>
          <w:szCs w:val="32"/>
          <w:highlight w:val="none"/>
          <w:lang w:val="zh-CN" w:eastAsia="zh-CN" w:bidi="ar-SA"/>
        </w:rPr>
        <w:t>采取财政拨款方式。资金按合同约定进度支付：根据成交供应商（北京土人城市规划设计股份有限公司）提交的阶段性成果及经采购人确认的实际完成工作量，在收到供应商合法有效发票后20个工作日内，由采购人报请市财政局审批，通过国库集中支付方式以转账形式拨付进度款。总费用为99.25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4.资金分配的原则及考虑因素。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资金分配坚持“按劳计酬、按进度付款”的原则，严格依据合同约定的技术节点和成果要求，结合专家审查意见和实际完成工作量进行核算，确保资金支付与项目进度、成果质</w:t>
      </w:r>
      <w:r>
        <w:rPr>
          <w:rFonts w:hint="eastAsia" w:ascii="CESI楷体-GB2312" w:hAnsi="CESI楷体-GB2312" w:eastAsia="CESI楷体-GB2312" w:cs="CESI楷体-GB2312"/>
          <w:b w:val="0"/>
          <w:bCs w:val="0"/>
          <w:kern w:val="0"/>
          <w:position w:val="0"/>
          <w:sz w:val="32"/>
          <w:szCs w:val="32"/>
          <w:highlight w:val="none"/>
          <w:lang w:val="zh-CN" w:eastAsia="zh-CN" w:bidi="ar-SA"/>
        </w:rPr>
        <w:t>量相匹配。</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（二）项目绩效目标。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项目主要内容。</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本次规划编制范围分为宏观研究层与中微观实施层两个层面：</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宏观研究范围： 攀枝花市全市行政辖区（含东区、西区、仁和区、米易县、盐边县），总面积7440平方公里。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核心规划与设计范围（中观与微观实施层）： 重点聚焦攀枝花市中心城区（东区、西区、仁和区核心区域）、钒钛高新区、重要交通门户廊道及金沙江、雅砻江“两江”水系区域。同时，辐射周边重要绿地要素，包括大黑山森林公园、苏铁自然保护区、宝鼎煤炭采空修复区、兰尖（朱）矿山修复区等，总面积约500平方公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要求从中微观实施层面，对核心区域现状进行深入分析与评价，构建“四季花城”的总体空间布局与景观结构。筛选关键节点（如重要门户廊道、东华山、银江湖、花海等）进行详细规划指引，最终形成完整的项目清单、投资估算、分期建设计划（近期、中期、远期）、建设资金筹措方案及运营维护模式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战略目标：充分利用攀枝花“大山大水大峡谷”的地域特色，构建“城在花中、花在城中”的景观体系，实现“一城阳光，半城花”的愿景。塑造具有“中国味、攀西风、国际范”的城市风貌，为攀枝花从“区域康养胜地”向“国际旅游城市”跃升提供核心支撑，增强市民幸福感与获得感，助力“共富共美”建设。</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产出目标： 完成符合国家规范及合同要求的《攀枝花市“四季花城”绿化专项规划》成果报告、图集及项目库。</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时效目标： 严格按照合同约定的时间节点，完成初步方案、中期论证、专家评审及最终成果提交。</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成本目标： 严格控制项目总费用不超过政府采购合同金额（99.25万元），确保财政资金使用效益。</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3.经分析，项目申报内容与实际需求高度相符，设定的绩效目标紧扣城市发展战略，任务明确、指标合理，具有较强的科学性和可操作性，预期效益显著。</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（三）项目自评步骤及方法。</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自评严格按照《中共中央国务院关于全面实施预算绩效管理的意见》及相关工作要求，采取“部门组织实施、资料核查与综合分析相结合”的方法。自评小组依据合同约定、财务凭证、项目成果文件及相关法律法规划（如《中华人民共和国城乡规划法》《城市绿化条例》等）对项目决策、过程管理、产出效果和效益实现情况进行全面评价。</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二、项目资金申报及使用情况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（一）项目资金申报及批复情况。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本项目资金依据政府采购合同（合同金额99.25万元）进行申报。2025年度，市财政批复项目预算指标20万元。截至2025年底，按合同约定及工作进度实际申请支付19.85万元。预算申报、批复及调整程序合规。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（二）资金计划、到位及使用情况。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资金计划。2025年，市财政下达项目资金20万元，经费全部来自财政拨款。此项经费用全部用于攀枝花市“四季花城”绿化专项规划编制项目。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资金到位。截至2025年12月31日，实际到位资金20万元（指标），资金到位率100%。</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资金使用。截至2025年12月31日，按合同约定，经财政审批后，实际支付资金19.85万元，主要用于支付成交供应商第一阶段规划编制启动服务费。资金支付与项目进度匹配，使用合规。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（三）项目财务管理情况。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三、项目实施及管理情况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（一）项目组织架构及实施流程。</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我单位项目实施首先由局绿化科牵头组织相关专家对方案成果进行审查，对发现的问题反馈问题给北京土人城市规划设计股份有限公司（合同乙方）处理，待问题处理完后。乙方提供正规发票，经局长办公会或党组会审议通过后报市财政局，财政预算批复后，由各财政直接支付给北京土人城市规划设计股份有限公司。</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（二）项目管理情况。</w:t>
      </w:r>
      <w:r>
        <w:rPr>
          <w:rFonts w:hint="eastAsia" w:ascii="Times New Roman" w:hAnsi="Times New Roman" w:eastAsia="仿宋_GB2312" w:cs="仿宋_GB2312"/>
          <w:b w:val="0"/>
          <w:bCs w:val="0"/>
          <w:kern w:val="0"/>
          <w:position w:val="0"/>
          <w:sz w:val="32"/>
          <w:szCs w:val="32"/>
          <w:highlight w:val="none"/>
          <w:lang w:val="zh-CN" w:eastAsia="zh-CN" w:bidi="ar-SA"/>
        </w:rPr>
        <w:t>我单位管理制度健全，为落实项目合同的实施，由局绿化科负责日常的检查和考核，并严格执行各项财务管理制度，项目资金账务处理及时，会计核算规范。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（三）项目监管情况。</w:t>
      </w:r>
      <w:r>
        <w:rPr>
          <w:rFonts w:hint="eastAsia" w:ascii="Times New Roman" w:hAnsi="Times New Roman" w:eastAsia="仿宋_GB2312" w:cs="仿宋_GB2312"/>
          <w:b w:val="0"/>
          <w:bCs w:val="0"/>
          <w:kern w:val="0"/>
          <w:position w:val="0"/>
          <w:sz w:val="32"/>
          <w:szCs w:val="32"/>
          <w:highlight w:val="none"/>
          <w:lang w:val="zh-CN" w:eastAsia="zh-CN" w:bidi="ar-SA"/>
        </w:rPr>
        <w:t>我单位严格按照合同约定，为确保合同顺利高效实施，严格按照《中华人民共和国城乡规划法》(2019修正)、《城市绿化条例》(2017修订)、《城市园林绿化评价标准》（GB/T 50563-2010）、《公园设计规范》（GB 51192-2016）等现行有效的国家、省、市法律、法规、规范及技术标准进行考核，对发现的问题及时反馈给北京土人城市规划设计股份有限公司处理。同时，充分发挥纪检部门监督作用，对项目实施全过程进行廉政监督，防止出现违规违纪行为。通过这些监管手段和程序，有效保障项目顺利实施，确保合同项目质量和资金安全。</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四、项目绩效情况</w:t>
      </w:r>
      <w:r>
        <w:rPr>
          <w:rFonts w:hint="eastAsia" w:ascii="黑体" w:hAnsi="黑体" w:eastAsia="黑体" w:cs="黑体"/>
          <w:b w:val="0"/>
          <w:bCs w:val="0"/>
          <w:kern w:val="0"/>
          <w:position w:val="0"/>
          <w:sz w:val="32"/>
          <w:szCs w:val="32"/>
          <w:highlight w:val="none"/>
          <w:lang w:val="zh-CN" w:eastAsia="zh-CN" w:bidi="ar-SA"/>
        </w:rPr>
        <w:tab/>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（一）项目完成情况。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在项目完成方面，严格督促</w:t>
      </w:r>
      <w:bookmarkStart w:id="60" w:name="OLE_LINK22"/>
      <w:r>
        <w:rPr>
          <w:rFonts w:hint="eastAsia" w:ascii="Times New Roman" w:hAnsi="Times New Roman" w:eastAsia="仿宋_GB2312" w:cs="仿宋_GB2312"/>
          <w:b w:val="0"/>
          <w:bCs w:val="0"/>
          <w:kern w:val="0"/>
          <w:position w:val="0"/>
          <w:sz w:val="32"/>
          <w:szCs w:val="32"/>
          <w:highlight w:val="none"/>
          <w:lang w:val="zh-CN" w:eastAsia="zh-CN" w:bidi="ar-SA"/>
        </w:rPr>
        <w:t>北京土人城市规划设计股份有限公司</w:t>
      </w:r>
      <w:bookmarkEnd w:id="60"/>
      <w:r>
        <w:rPr>
          <w:rFonts w:hint="eastAsia" w:ascii="Times New Roman" w:hAnsi="Times New Roman" w:eastAsia="仿宋_GB2312" w:cs="仿宋_GB2312"/>
          <w:b w:val="0"/>
          <w:bCs w:val="0"/>
          <w:kern w:val="0"/>
          <w:position w:val="0"/>
          <w:sz w:val="32"/>
          <w:szCs w:val="32"/>
          <w:highlight w:val="none"/>
          <w:lang w:val="zh-CN" w:eastAsia="zh-CN" w:bidi="ar-SA"/>
        </w:rPr>
        <w:t>完成攀枝花市“四季花城”绿化专项规划编制工作，达到预期目标；符合相关质量标准；在时效方面，按照项目实施进度计划，各阶段工作均按时完成；在成本控制方面，已使用资金19.85万元，未超出已下达资金额度，资金使用合理。目前无违规记录。各项任务量完成、质量标准、进度计划、成本控制目标均实现程度良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（二）项目效益情况。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项目资金使用不直接产生经济效益，但其效益主要体现在社会、生态及可持续影响方面。规划的编制为攀枝花市未来绿化建设提供了科学蓝图，有助于保护和优化城市生态系统，塑造独特的“花城”景观风貌，提升城市宜居品质和旅游吸引力，为市民创造更多绿色福祉，社会效益和生态效益显著。项目成果将为建设“产业兴、城市美、万家和”的共同富裕试验区和国际旅游城市奠定坚实的生态景观基础。</w:t>
      </w:r>
      <w:r>
        <w:rPr>
          <w:rFonts w:hint="eastAsia" w:eastAsia="仿宋_GB2312" w:cs="仿宋_GB2312"/>
          <w:b w:val="0"/>
          <w:bCs w:val="0"/>
          <w:kern w:val="0"/>
          <w:position w:val="0"/>
          <w:sz w:val="32"/>
          <w:szCs w:val="32"/>
          <w:highlight w:val="none"/>
          <w:lang w:val="en-US" w:eastAsia="zh-CN" w:bidi="ar-SA"/>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五、评价结论及建议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（一）评价结论。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该项目立项依据充分，绩效目标明确合理，资金使用规范，项目实施过程管理严格，达到了预期目标。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（二）存在的问题。</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目前规划编制即将完成，但如何将规划蓝图有效转化为具体的建设项目清单和行动计划，相关工作机制和保障措施有待提前研究和建立。</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CESI楷体-GB2312" w:hAnsi="CESI楷体-GB2312" w:eastAsia="CESI楷体-GB2312" w:cs="CESI楷体-GB2312"/>
          <w:b/>
          <w:bCs/>
          <w:kern w:val="0"/>
          <w:position w:val="0"/>
          <w:sz w:val="32"/>
          <w:szCs w:val="32"/>
          <w:highlight w:val="none"/>
          <w:lang w:val="zh-CN" w:eastAsia="zh-CN" w:bidi="ar-SA"/>
        </w:rPr>
      </w:pPr>
      <w:r>
        <w:rPr>
          <w:rFonts w:hint="eastAsia" w:ascii="CESI楷体-GB2312" w:hAnsi="CESI楷体-GB2312" w:eastAsia="CESI楷体-GB2312" w:cs="CESI楷体-GB2312"/>
          <w:b/>
          <w:bCs/>
          <w:kern w:val="0"/>
          <w:position w:val="0"/>
          <w:sz w:val="32"/>
          <w:szCs w:val="32"/>
          <w:highlight w:val="none"/>
          <w:lang w:val="zh-CN" w:eastAsia="zh-CN" w:bidi="ar-SA"/>
        </w:rPr>
        <w:t>（三）相关建议。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项目完成后，尽快组织成果论证，将规划确定的重点项目与市里的城市更新、老旧小区改造、乡村振兴等项目库进行有效衔接，积极争取建设资金，确保规划落地实施。</w:t>
      </w:r>
    </w:p>
    <w:p>
      <w:pPr>
        <w:pStyle w:val="15"/>
        <w:rPr>
          <w:rFonts w:hint="eastAsia"/>
          <w:lang w:val="en-US" w:eastAsia="zh-CN"/>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1"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6"/>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eastAsia="仿宋_GB2312" w:cs="仿宋_GB2312"/>
          <w:kern w:val="2"/>
          <w:sz w:val="32"/>
          <w:szCs w:val="32"/>
        </w:rPr>
      </w:pPr>
      <w:r>
        <w:rPr>
          <w:rFonts w:hint="eastAsia" w:ascii="仿宋_GB2312" w:hAnsi="Courier New" w:eastAsia="仿宋_GB2312" w:cs="仿宋_GB2312"/>
          <w:kern w:val="2"/>
          <w:sz w:val="32"/>
          <w:szCs w:val="32"/>
          <w:lang w:val="en-US" w:eastAsia="zh-CN" w:bidi="ar"/>
        </w:rPr>
        <w:t>（攀枝花大道南段等主干道绿化养护）</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市城管执法局作为本项目采购主体，负责攀枝花大道南段等主干道绿化养护项目的采购和实施，局属单位攀枝花市园林绿化服务中心履行日常管理的业主责任，按合同约定在项目执行中开展技术指导、计划下达、监督考核、履约验收、协助办理费用支付等过程管理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根据《中华人民共和国政府采购法》规定立项、申报，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资金支持条件根据《攀枝花大道南段等主干道绿化养护项目》中明确“攀枝花大道南段等主干道绿化养护，费用</w:t>
      </w:r>
      <w:r>
        <w:rPr>
          <w:rFonts w:hint="default" w:ascii="Times New Roman" w:hAnsi="Times New Roman" w:eastAsia="仿宋_GB2312" w:cs="Times New Roman"/>
          <w:kern w:val="2"/>
          <w:sz w:val="32"/>
          <w:szCs w:val="32"/>
          <w:lang w:val="en-US" w:eastAsia="zh-CN" w:bidi="ar"/>
        </w:rPr>
        <w:t>98.3986</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资金支持范围攀枝花大道南段、攀枝花大道中段、三线大道、三线大道北段部分（加州国际路口至陈家垭口隧道）沿线，道路及其附属绿化共计</w:t>
      </w:r>
      <w:r>
        <w:rPr>
          <w:rFonts w:hint="default" w:ascii="Times New Roman" w:hAnsi="Times New Roman" w:eastAsia="仿宋_GB2312" w:cs="Times New Roman"/>
          <w:kern w:val="2"/>
          <w:sz w:val="32"/>
          <w:szCs w:val="32"/>
          <w:lang w:val="en-US" w:eastAsia="zh-CN" w:bidi="ar"/>
        </w:rPr>
        <w:t>101944.99</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4575</w:t>
      </w:r>
      <w:r>
        <w:rPr>
          <w:rFonts w:hint="eastAsia" w:ascii="仿宋_GB2312" w:hAnsi="Times New Roman" w:eastAsia="仿宋_GB2312" w:cs="仿宋_GB2312"/>
          <w:kern w:val="2"/>
          <w:sz w:val="32"/>
          <w:szCs w:val="32"/>
          <w:lang w:val="en-US" w:eastAsia="zh-CN" w:bidi="ar"/>
        </w:rPr>
        <w:t>株、花箱共计</w:t>
      </w:r>
      <w:r>
        <w:rPr>
          <w:rFonts w:hint="default" w:ascii="Times New Roman" w:hAnsi="Times New Roman" w:eastAsia="仿宋_GB2312" w:cs="Times New Roman"/>
          <w:kern w:val="2"/>
          <w:sz w:val="32"/>
          <w:szCs w:val="32"/>
          <w:lang w:val="en-US" w:eastAsia="zh-CN" w:bidi="ar"/>
        </w:rPr>
        <w:t>524</w:t>
      </w:r>
      <w:r>
        <w:rPr>
          <w:rFonts w:hint="eastAsia" w:ascii="仿宋_GB2312" w:hAnsi="Times New Roman" w:eastAsia="仿宋_GB2312" w:cs="仿宋_GB2312"/>
          <w:kern w:val="2"/>
          <w:sz w:val="32"/>
          <w:szCs w:val="32"/>
          <w:lang w:val="en-US" w:eastAsia="zh-CN" w:bidi="ar"/>
        </w:rPr>
        <w:t>个。</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资金支持方式采用财政拨款，实际费用按月考核分期支付，根据成交供应商所完成的实际数量，按照报价折算出管护费用，通过制定的管理标准和考核办法考核后，在收到成交供应商出具的正规发票后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个工作日内采购人报财政审批同意后以转账的方式拨付承包费用。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4. </w:t>
      </w: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实际费用按月考核支付，根据成交供应商所完成的实际数量，按照报价折算出管护费用，通过制定的管理标准和考核办法考核后支付。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攀枝花大道南段、攀枝花大道中段、三线大道、三线大道北段部分（加州国际路口至陈家垭口隧道）沿线，道路及其附属绿化共计</w:t>
      </w:r>
      <w:r>
        <w:rPr>
          <w:rFonts w:hint="default" w:ascii="Times New Roman" w:hAnsi="Times New Roman" w:eastAsia="仿宋_GB2312" w:cs="Times New Roman"/>
          <w:kern w:val="2"/>
          <w:sz w:val="32"/>
          <w:szCs w:val="32"/>
          <w:lang w:val="en-US" w:eastAsia="zh-CN" w:bidi="ar"/>
        </w:rPr>
        <w:t>101944.99</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4575</w:t>
      </w:r>
      <w:r>
        <w:rPr>
          <w:rFonts w:hint="eastAsia" w:ascii="仿宋_GB2312" w:hAnsi="Times New Roman" w:eastAsia="仿宋_GB2312" w:cs="仿宋_GB2312"/>
          <w:kern w:val="2"/>
          <w:sz w:val="32"/>
          <w:szCs w:val="32"/>
          <w:lang w:val="en-US" w:eastAsia="zh-CN" w:bidi="ar"/>
        </w:rPr>
        <w:t>株、花箱共计</w:t>
      </w:r>
      <w:r>
        <w:rPr>
          <w:rFonts w:hint="default" w:ascii="Times New Roman" w:hAnsi="Times New Roman" w:eastAsia="仿宋_GB2312" w:cs="Times New Roman"/>
          <w:kern w:val="2"/>
          <w:sz w:val="32"/>
          <w:szCs w:val="32"/>
          <w:lang w:val="en-US" w:eastAsia="zh-CN" w:bidi="ar"/>
        </w:rPr>
        <w:t>524</w:t>
      </w:r>
      <w:r>
        <w:rPr>
          <w:rFonts w:hint="eastAsia" w:ascii="仿宋_GB2312" w:hAnsi="Times New Roman" w:eastAsia="仿宋_GB2312" w:cs="仿宋_GB2312"/>
          <w:kern w:val="2"/>
          <w:sz w:val="32"/>
          <w:szCs w:val="32"/>
          <w:lang w:val="en-US" w:eastAsia="zh-CN" w:bidi="ar"/>
        </w:rPr>
        <w:t>个。</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攀枝花大道南段等主干道绿化养护，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按照合同约定，质量标准和考核办法按照合同附件《攀枝花市园林绿化养护质量标准》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要求执行，按月考核。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本项目资金申报是我局按照合同约定按月考核通过后实际产生的费用，本项目年度合同金额为</w:t>
      </w:r>
      <w:r>
        <w:rPr>
          <w:rFonts w:hint="default" w:ascii="Times New Roman" w:hAnsi="Times New Roman" w:eastAsia="仿宋_GB2312" w:cs="Times New Roman"/>
          <w:kern w:val="2"/>
          <w:sz w:val="32"/>
          <w:szCs w:val="32"/>
          <w:lang w:val="en-US" w:eastAsia="zh-CN" w:bidi="ar"/>
        </w:rPr>
        <w:t>98.3986</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54.51</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2025年，市财政下达项目资金54.51万元，经费全部来自财政拨款。此项经费用全部用于</w:t>
      </w:r>
      <w:r>
        <w:rPr>
          <w:rFonts w:hint="eastAsia" w:ascii="仿宋_GB2312" w:hAnsi="Times New Roman" w:eastAsia="仿宋_GB2312" w:cs="仿宋_GB2312"/>
          <w:kern w:val="2"/>
          <w:sz w:val="32"/>
          <w:szCs w:val="32"/>
          <w:lang w:val="en-US" w:eastAsia="zh-CN" w:bidi="ar"/>
        </w:rPr>
        <w:t>攀枝花大道南段等主干道绿化养护项目。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54.51</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按照合同约定，实际费用按月考核分期支付，根据成交供应商所完成的实际数量，按照报价折算出管护费用，通过制定的管理标准和考核办法考核后支付。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绿化科、市园林绿化服务中心采用定期与不定期检查的方式进行检查，对发现的问题按考核标准进行扣分扣钱，同时反馈问题给攀枝花市精璨清洁有限公司（合同乙方）处理。每月底按检查结果形成考核结果，由三方签字确认后，乙方提供正规发票，经局长办公会或党组会审议通过后报市财政局，财政预算批复后，由各财政直接支付给攀枝花市精璨清洁有限公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我单位管理制度健全，为落实项目合同的实施，由局绿化科负责日常的检查和考核，并严格执行各项财务管理制度，项目资金账务处理及时，会计核算规范。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我单位采取多种管理手段。严格审核合同制定，为确保合同顺利高效实施，严格按照</w:t>
      </w:r>
      <w:r>
        <w:rPr>
          <w:rFonts w:hint="eastAsia" w:ascii="仿宋_GB2312" w:hAnsi="Times New Roman" w:eastAsia="仿宋_GB2312" w:cs="仿宋_GB2312"/>
          <w:kern w:val="2"/>
          <w:sz w:val="32"/>
          <w:szCs w:val="32"/>
          <w:lang w:val="en-US" w:eastAsia="zh-CN" w:bidi="ar"/>
        </w:rPr>
        <w:t>《攀枝花市园林绿化养护质量标准》（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）《园林绿化管养检查考核扣款标准》进行考核，采取定期与不定期检查，日常督促的方式对发现的问题及时反馈给</w:t>
      </w:r>
      <w:r>
        <w:rPr>
          <w:rFonts w:hint="eastAsia" w:ascii="仿宋_GB2312" w:hAnsi="Times New Roman" w:eastAsia="仿宋_GB2312" w:cs="仿宋_GB2312"/>
          <w:kern w:val="0"/>
          <w:sz w:val="32"/>
          <w:szCs w:val="32"/>
          <w:lang w:val="en-US" w:eastAsia="zh-CN" w:bidi="ar"/>
        </w:rPr>
        <w:t>攀枝花市精璨清洁有限公司（合同乙方）处理。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在项目完成数量方面，严格督促攀枝花市精璨清洁有限公司完成</w:t>
      </w:r>
      <w:r>
        <w:rPr>
          <w:rFonts w:hint="eastAsia" w:ascii="仿宋_GB2312" w:hAnsi="Times New Roman" w:eastAsia="仿宋_GB2312" w:cs="仿宋_GB2312"/>
          <w:kern w:val="2"/>
          <w:sz w:val="32"/>
          <w:szCs w:val="32"/>
          <w:lang w:val="en-US" w:eastAsia="zh-CN" w:bidi="ar"/>
        </w:rPr>
        <w:t>攀枝花大道南段等主干道绿化养护</w:t>
      </w:r>
      <w:r>
        <w:rPr>
          <w:rFonts w:hint="eastAsia" w:ascii="仿宋_GB2312" w:hAnsi="Times New Roman" w:eastAsia="仿宋_GB2312" w:cs="仿宋_GB2312"/>
          <w:kern w:val="0"/>
          <w:sz w:val="32"/>
          <w:szCs w:val="32"/>
          <w:lang w:val="en-US" w:eastAsia="zh-CN" w:bidi="ar"/>
        </w:rPr>
        <w:t>工作，达到预期目标；在质量方面，按月完成检查验收，符合相关质量标准；在时效方面，按照项目实施进度计划，各阶段工作均按时完成；在成本控制方面，已使用资金54.51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生态效益及可持续影响方面。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在项目实施过程中，虽然采取了多种监管手段，但在一些细节方面，如对日常检查次数偏少，园林专业技术能力不足。主要原因是相关监管人员数量有限，且单位监管人员专业知识不足。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建立健全项目监管机制，加强对项目实施全过程的监督检查次数，学习园林专业知识，确保项目质量和安全。</w:t>
      </w: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17"/>
        <w:keepNext w:val="0"/>
        <w:keepLines w:val="0"/>
        <w:widowControl w:val="0"/>
        <w:suppressLineNumbers w:val="0"/>
        <w:autoSpaceDE/>
        <w:autoSpaceDN w:val="0"/>
        <w:spacing w:before="0" w:beforeAutospacing="0" w:after="0" w:afterAutospacing="0" w:line="600" w:lineRule="exact"/>
        <w:ind w:left="0" w:right="0"/>
        <w:jc w:val="center"/>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（《攀枝花市生活垃圾分类》立法）</w:t>
      </w:r>
    </w:p>
    <w:p>
      <w:pPr>
        <w:pStyle w:val="17"/>
        <w:keepNext w:val="0"/>
        <w:keepLines w:val="0"/>
        <w:widowControl w:val="0"/>
        <w:suppressLineNumbers w:val="0"/>
        <w:autoSpaceDE/>
        <w:autoSpaceDN w:val="0"/>
        <w:spacing w:before="0" w:beforeAutospacing="0" w:after="0" w:afterAutospacing="0" w:line="600" w:lineRule="exact"/>
        <w:ind w:left="0" w:right="0" w:firstLine="640"/>
        <w:jc w:val="center"/>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市城管执法局作为本项目采购主体，负责《攀枝花市生活垃圾分类管理办法》立法经费的采购和实施。按合同约定开展《攀枝花市生活垃圾分类管理办法》制定草案起草前期立法调研、文本起草、征求意见、立法听证、专家论证和社会稳定风险评估等系列工作。在项目执行中开展计划下达、履约验收、协助办理费用支付等过程管理工作。</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根据《中华人民共和国政府采购法》《中华人民共和国民法典》及其他有关法律、法规规定立项、申报。</w:t>
      </w:r>
    </w:p>
    <w:p>
      <w:pPr>
        <w:keepNext w:val="0"/>
        <w:keepLines w:val="0"/>
        <w:widowControl w:val="0"/>
        <w:numPr>
          <w:ilvl w:val="0"/>
          <w:numId w:val="2"/>
        </w:numPr>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资金支持条件根据《攀枝花市城市管理行政执法局关于解决</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攀枝花市生活垃圾分类管理办法</w:t>
      </w:r>
      <w:r>
        <w:rPr>
          <w:rFonts w:hint="default" w:ascii="Times New Roman" w:hAnsi="Times New Roman" w:eastAsia="仿宋_GB2312" w:cs="Times New Roman"/>
          <w:kern w:val="2"/>
          <w:sz w:val="32"/>
          <w:szCs w:val="32"/>
          <w:lang w:val="en-US" w:eastAsia="zh-CN" w:bidi="ar"/>
        </w:rPr>
        <w:t>&gt;</w:t>
      </w:r>
      <w:r>
        <w:rPr>
          <w:rFonts w:hint="eastAsia" w:ascii="仿宋_GB2312" w:hAnsi="Times New Roman" w:eastAsia="仿宋_GB2312" w:cs="仿宋_GB2312"/>
          <w:kern w:val="2"/>
          <w:sz w:val="32"/>
          <w:szCs w:val="32"/>
          <w:lang w:val="en-US" w:eastAsia="zh-CN" w:bidi="ar"/>
        </w:rPr>
        <w:t>立法工作经费的请示》中明确“《攀枝花市生活垃圾分类管理办法》立法工作经费，经概算，需要调研费、数据采集费、立法评估费等费用共计</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万元。”</w:t>
      </w:r>
    </w:p>
    <w:p>
      <w:pPr>
        <w:keepNext w:val="0"/>
        <w:keepLines w:val="0"/>
        <w:widowControl w:val="0"/>
        <w:numPr>
          <w:ilvl w:val="0"/>
          <w:numId w:val="2"/>
        </w:numPr>
        <w:suppressLineNumbers w:val="0"/>
        <w:autoSpaceDE/>
        <w:autoSpaceDN w:val="0"/>
        <w:adjustRightInd w:val="0"/>
        <w:snapToGrid w:val="0"/>
        <w:spacing w:before="0" w:beforeAutospacing="0" w:after="0" w:afterAutospacing="0" w:line="600" w:lineRule="exact"/>
        <w:ind w:left="0" w:leftChars="0" w:right="0" w:firstLine="720" w:firstLineChars="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根据提交的研究成果验收合格或视为合格后，根据财政拨付款项情况，及时支付。</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提供项目研究成果，包含撰写《攀枝花市生活垃圾分类管理办法（草案）》《法律依据清单》《听证会报告》《论证报告》《社会稳定风险评估报告》《关于</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攀枝花市生活垃圾分类管理办法（草案）</w:t>
      </w:r>
      <w:r>
        <w:rPr>
          <w:rFonts w:hint="default" w:ascii="Times New Roman" w:hAnsi="Times New Roman" w:eastAsia="仿宋_GB2312" w:cs="Times New Roman"/>
          <w:kern w:val="2"/>
          <w:sz w:val="32"/>
          <w:szCs w:val="32"/>
          <w:lang w:val="en-US" w:eastAsia="zh-CN" w:bidi="ar"/>
        </w:rPr>
        <w:t>&gt;</w:t>
      </w:r>
      <w:r>
        <w:rPr>
          <w:rFonts w:hint="eastAsia" w:ascii="仿宋_GB2312" w:hAnsi="Times New Roman" w:eastAsia="仿宋_GB2312" w:cs="仿宋_GB2312"/>
          <w:kern w:val="2"/>
          <w:sz w:val="32"/>
          <w:szCs w:val="32"/>
          <w:lang w:val="en-US" w:eastAsia="zh-CN" w:bidi="ar"/>
        </w:rPr>
        <w:t>意见汇总》、起草说明、立法可行性评估报告（包括主要制度规范的可行性、出台时机、实施的社会效果和可能出现的问题等内容）、征求意见情况说明、征求采纳见情况、健康影响评价、社会主义核心价值观入法入规审查和公平竞争审查等相关材料；配合组织听证、专家论证、社会稳定风险评估等工作；参与立法草案审议后的修改工作；在立法工作中需要办理的其他事项。</w:t>
      </w:r>
    </w:p>
    <w:p>
      <w:pPr>
        <w:keepNext w:val="0"/>
        <w:keepLines w:val="0"/>
        <w:widowControl w:val="0"/>
        <w:numPr>
          <w:ilvl w:val="0"/>
          <w:numId w:val="3"/>
        </w:numPr>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项目应实现的具体绩效目标，包括目标的量化、细化情况以及项目实施进度计划等。</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加强攀枝花市生活垃圾分类管理，防治固体废物污染环境，促进攀枝花市行政区域内生活垃圾源头减量、分类投放、分类收集、分类运输、分类处理，实现生活垃圾减量化、资源化、无害化，为创建环境优美、整洁有序的人居环境起到重要作用。</w:t>
      </w:r>
    </w:p>
    <w:p>
      <w:pPr>
        <w:keepNext w:val="0"/>
        <w:keepLines w:val="0"/>
        <w:widowControl w:val="0"/>
        <w:suppressLineNumbers w:val="0"/>
        <w:autoSpaceDE/>
        <w:autoSpaceDN w:val="0"/>
        <w:adjustRightInd w:val="0"/>
        <w:snapToGrid w:val="0"/>
        <w:spacing w:before="0" w:beforeAutospacing="0" w:after="0" w:afterAutospacing="0" w:line="600" w:lineRule="exact"/>
        <w:ind w:left="420" w:leftChars="200" w:right="0" w:firstLine="80" w:firstLineChars="25"/>
        <w:jc w:val="both"/>
        <w:rPr>
          <w:rFonts w:hint="eastAsia" w:ascii="仿宋_GB2312" w:hAnsi="Times New Roman" w:eastAsia="仿宋_GB2312" w:cs="仿宋_GB2312"/>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3. </w:t>
      </w: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utoSpaceDE/>
        <w:autoSpaceDN w:val="0"/>
        <w:adjustRightInd w:val="0"/>
        <w:snapToGrid w:val="0"/>
        <w:spacing w:before="0" w:beforeAutospacing="0" w:after="0" w:afterAutospacing="0" w:line="600" w:lineRule="exact"/>
        <w:ind w:left="420" w:leftChars="200" w:right="0" w:firstLine="80" w:firstLineChars="25"/>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caps w:val="0"/>
          <w:kern w:val="2"/>
          <w:sz w:val="32"/>
          <w:szCs w:val="32"/>
        </w:rPr>
      </w:pPr>
      <w:r>
        <w:rPr>
          <w:rFonts w:hint="eastAsia" w:ascii="仿宋_GB2312" w:hAnsi="Times New Roman" w:eastAsia="仿宋_GB2312" w:cs="仿宋_GB2312"/>
          <w:kern w:val="2"/>
          <w:sz w:val="32"/>
          <w:szCs w:val="32"/>
          <w:lang w:val="en-US" w:eastAsia="zh-CN" w:bidi="ar"/>
        </w:rPr>
        <w:t>按照</w:t>
      </w:r>
      <w:r>
        <w:rPr>
          <w:rFonts w:hint="eastAsia" w:ascii="仿宋_GB2312" w:hAnsi="Times New Roman" w:eastAsia="仿宋_GB2312" w:cs="仿宋_GB2312"/>
          <w:b w:val="0"/>
          <w:caps w:val="0"/>
          <w:kern w:val="2"/>
          <w:sz w:val="32"/>
          <w:szCs w:val="32"/>
          <w:lang w:val="en-US" w:eastAsia="zh-CN" w:bidi="ar"/>
        </w:rPr>
        <w:t>成立绩效自评小组，通过采用“资料核查</w:t>
      </w:r>
      <w:r>
        <w:rPr>
          <w:rFonts w:hint="default" w:ascii="Times New Roman" w:hAnsi="Times New Roman" w:eastAsia="仿宋_GB2312" w:cs="Times New Roman"/>
          <w:b w:val="0"/>
          <w:caps w:val="0"/>
          <w:kern w:val="2"/>
          <w:sz w:val="32"/>
          <w:szCs w:val="32"/>
          <w:lang w:val="en-US" w:eastAsia="zh-CN" w:bidi="ar"/>
        </w:rPr>
        <w:t>+</w:t>
      </w:r>
      <w:r>
        <w:rPr>
          <w:rFonts w:hint="eastAsia" w:ascii="仿宋_GB2312" w:hAnsi="Times New Roman" w:eastAsia="仿宋_GB2312" w:cs="仿宋_GB2312"/>
          <w:b w:val="0"/>
          <w:caps w:val="0"/>
          <w:kern w:val="2"/>
          <w:sz w:val="32"/>
          <w:szCs w:val="32"/>
          <w:lang w:val="en-US" w:eastAsia="zh-CN" w:bidi="ar"/>
        </w:rPr>
        <w:t>现场查验”方式，对照项目绩效目标和评价指标体系，运用定量与定性相结合的方法，对项目完成情况、资金使用情况、社会效益和可持续影响等方面进行综合分析评价；最后根据分析评价结果撰写项目绩效自评报告。</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本项目资金申报是我局按照政府购买服务采购价</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年费用进行申报的，市财政批复下达</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万元。根据中选价签订的合同约定按验收通过后据实拨付费用，本项目年度合同金额为</w:t>
      </w:r>
      <w:r>
        <w:rPr>
          <w:rFonts w:hint="default" w:ascii="Times New Roman" w:hAnsi="Times New Roman" w:eastAsia="仿宋_GB2312" w:cs="Times New Roman"/>
          <w:kern w:val="2"/>
          <w:sz w:val="32"/>
          <w:szCs w:val="32"/>
          <w:lang w:val="en-US" w:eastAsia="zh-CN" w:bidi="ar"/>
        </w:rPr>
        <w:t>7.99</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7.99</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eastAsia"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w:t>
      </w:r>
      <w:r>
        <w:rPr>
          <w:rFonts w:hint="default" w:ascii="Times New Roman" w:hAnsi="Times New Roman" w:eastAsia="仿宋_GB2312" w:cs="Times New Roman"/>
          <w:kern w:val="2"/>
          <w:sz w:val="32"/>
          <w:szCs w:val="32"/>
          <w:lang w:val="en-US" w:eastAsia="zh-CN" w:bidi="ar"/>
        </w:rPr>
        <w:t>7.99</w:t>
      </w:r>
      <w:r>
        <w:rPr>
          <w:rFonts w:hint="eastAsia" w:ascii="仿宋_GB2312" w:hAnsi="Times New Roman" w:eastAsia="仿宋_GB2312" w:cs="仿宋_GB2312"/>
          <w:kern w:val="0"/>
          <w:sz w:val="32"/>
          <w:szCs w:val="32"/>
          <w:lang w:val="en-US" w:eastAsia="zh-CN" w:bidi="ar"/>
        </w:rPr>
        <w:t>万元，经费全部来自财政拨款。此项经费用全部用于</w:t>
      </w:r>
      <w:r>
        <w:rPr>
          <w:rFonts w:hint="eastAsia" w:ascii="仿宋_GB2312" w:hAnsi="Times New Roman" w:eastAsia="仿宋_GB2312" w:cs="仿宋_GB2312"/>
          <w:kern w:val="2"/>
          <w:sz w:val="32"/>
          <w:szCs w:val="32"/>
          <w:lang w:val="en-US" w:eastAsia="zh-CN" w:bidi="ar"/>
        </w:rPr>
        <w:t>《攀枝花市生活垃圾分类管理办法》立法项目。</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7.99</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按照合同约定，实际费用审核验收合格后支付。</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结合项目组织实施管理办法，重点围绕以下内容进行分析评价，并对自评中发现的问题分析说明。</w:t>
      </w:r>
    </w:p>
    <w:p>
      <w:pPr>
        <w:keepNext w:val="0"/>
        <w:keepLines w:val="0"/>
        <w:widowControl w:val="0"/>
        <w:numPr>
          <w:ilvl w:val="0"/>
          <w:numId w:val="4"/>
        </w:numPr>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项目组织架构及实施流程。</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我单位项目实施首先由局环卫科、法规（审批）科进行计划安排、审核验收，签字确认后，乙方提供正规发票，经局长办公会或党组会审议通过后报市财政局，财政预算批复后，由财政直接支付给攀枝花学院。</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我单位管理制度健全，为落实项目合同的实施，由局环卫科、法规（审批）科负责计划安排、审核验收，并严格执行各项财务管理制度，项目资金账务处理及时，会计核算规范。</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kern w:val="0"/>
          <w:sz w:val="32"/>
          <w:szCs w:val="32"/>
          <w:lang w:val="en-US" w:eastAsia="zh-CN" w:bidi="ar"/>
        </w:rPr>
        <w:t>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加强攀枝花市生活垃圾分类管理，防治固体废物污染环境，促进攀枝花市行政区域内生活垃圾源头减量、分类投放、分类收集、分类运输、分类处理，实现生活垃圾减量化、资源化、无害化，为创建环境优美、整洁有序的人居环境起到重要作用。</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加强攀枝花市生活垃圾分类管理，防治固体废物污染环境，促进攀枝花市行政区域内生活垃圾源头减量、分类投放、分类收集、分类运输、分类处理，实现生活垃圾减量化、资源化、无害化，为创建环境优美、整洁有序的人居环境起到重要作用。</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在项目实施过程中，虽然采取了多种监管手段，但在一些细节方面，如文书制作存在细微瑕疵。主要原因是对文书制作规范学习程度不够。</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autoSpaceDE/>
        <w:autoSpaceDN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加强文书制作规范学习，同时加强法律法规知识的学习和提升。</w:t>
      </w: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17"/>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（办公楼维修加固工程费）</w:t>
      </w:r>
    </w:p>
    <w:p>
      <w:pPr>
        <w:pStyle w:val="17"/>
        <w:keepNext w:val="0"/>
        <w:keepLines w:val="0"/>
        <w:widowControl w:val="0"/>
        <w:suppressLineNumbers w:val="0"/>
        <w:spacing w:before="0" w:beforeAutospacing="0" w:after="0" w:afterAutospacing="0" w:line="600" w:lineRule="exact"/>
        <w:ind w:left="0" w:right="0" w:firstLine="640"/>
        <w:jc w:val="center"/>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．市城管执法局作为项目实施主体，负责统筹办公楼维修加固工程的立项申报、资金管理、质量监督及竣工验收全过程。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2. </w:t>
      </w:r>
      <w:r>
        <w:rPr>
          <w:rFonts w:hint="eastAsia" w:ascii="方正仿宋_GBK" w:hAnsi="方正仿宋_GBK" w:eastAsia="方正仿宋_GBK" w:cs="方正仿宋_GBK"/>
          <w:kern w:val="2"/>
          <w:sz w:val="32"/>
          <w:szCs w:val="32"/>
          <w:lang w:val="en-US" w:eastAsia="zh-CN" w:bidi="ar"/>
        </w:rPr>
        <w:t>项目立项依据：根据《攀枝花市机关事务服务中心</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攀枝花市财政局关于解决</w:t>
      </w:r>
      <w:r>
        <w:rPr>
          <w:rFonts w:hint="default" w:ascii="Times New Roman" w:hAnsi="Times New Roman" w:eastAsia="方正仿宋_GBK" w:cs="Times New Roman"/>
          <w:kern w:val="2"/>
          <w:sz w:val="32"/>
          <w:szCs w:val="32"/>
          <w:lang w:val="en-US" w:eastAsia="zh-CN" w:bidi="ar"/>
        </w:rPr>
        <w:t>C</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D</w:t>
      </w:r>
      <w:r>
        <w:rPr>
          <w:rFonts w:hint="eastAsia" w:ascii="方正仿宋_GBK" w:hAnsi="方正仿宋_GBK" w:eastAsia="方正仿宋_GBK" w:cs="方正仿宋_GBK"/>
          <w:kern w:val="2"/>
          <w:sz w:val="32"/>
          <w:szCs w:val="32"/>
          <w:lang w:val="en-US" w:eastAsia="zh-CN" w:bidi="ar"/>
        </w:rPr>
        <w:t>级办公危房过渡搬迁相关维修改造费用的请示》（攀机服〔</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号）文件中明确</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拟将市城管执法局、市信访局、市卫监支队、仁和区法院同德法庭</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处</w:t>
      </w:r>
      <w:r>
        <w:rPr>
          <w:rFonts w:hint="default" w:ascii="Times New Roman" w:hAnsi="Times New Roman" w:eastAsia="方正仿宋_GBK" w:cs="Times New Roman"/>
          <w:kern w:val="2"/>
          <w:sz w:val="32"/>
          <w:szCs w:val="32"/>
          <w:lang w:val="en-US" w:eastAsia="zh-CN" w:bidi="ar"/>
        </w:rPr>
        <w:t>C</w:t>
      </w:r>
      <w:r>
        <w:rPr>
          <w:rFonts w:hint="eastAsia" w:ascii="方正仿宋_GBK" w:hAnsi="方正仿宋_GBK" w:eastAsia="方正仿宋_GBK" w:cs="方正仿宋_GBK"/>
          <w:kern w:val="2"/>
          <w:sz w:val="32"/>
          <w:szCs w:val="32"/>
          <w:lang w:val="en-US" w:eastAsia="zh-CN" w:bidi="ar"/>
        </w:rPr>
        <w:t>级危房进行维修加固，预计处置费用约</w:t>
      </w:r>
      <w:r>
        <w:rPr>
          <w:rFonts w:hint="default" w:ascii="Times New Roman" w:hAnsi="Times New Roman" w:eastAsia="方正仿宋_GBK" w:cs="Times New Roman"/>
          <w:kern w:val="2"/>
          <w:sz w:val="32"/>
          <w:szCs w:val="32"/>
          <w:lang w:val="en-US" w:eastAsia="zh-CN" w:bidi="ar"/>
        </w:rPr>
        <w:t>182</w:t>
      </w:r>
      <w:r>
        <w:rPr>
          <w:rFonts w:hint="eastAsia" w:ascii="方正仿宋_GBK" w:hAnsi="方正仿宋_GBK" w:eastAsia="方正仿宋_GBK" w:cs="方正仿宋_GBK"/>
          <w:kern w:val="2"/>
          <w:sz w:val="32"/>
          <w:szCs w:val="32"/>
          <w:lang w:val="en-US" w:eastAsia="zh-CN" w:bidi="ar"/>
        </w:rPr>
        <w:t>万元。</w:t>
      </w:r>
      <w:r>
        <w:rPr>
          <w:rFonts w:hint="default" w:ascii="Times New Roman" w:hAnsi="Times New Roman" w:eastAsia="方正仿宋_GBK" w:cs="Times New Roman"/>
          <w:kern w:val="2"/>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资金申报依据：该项目资金申报依据施工合同、第三方机构出具的工程审计报告及实际支出费用编制资金需求进行编制上报。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．资金管理办法制定情况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资金支持条件根据《攀枝花市机关事务服务中心</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攀枝花市财政局关于解决</w:t>
      </w:r>
      <w:r>
        <w:rPr>
          <w:rFonts w:hint="default" w:ascii="Times New Roman" w:hAnsi="Times New Roman" w:eastAsia="方正仿宋_GBK" w:cs="Times New Roman"/>
          <w:kern w:val="2"/>
          <w:sz w:val="32"/>
          <w:szCs w:val="32"/>
          <w:lang w:val="en-US" w:eastAsia="zh-CN" w:bidi="ar"/>
        </w:rPr>
        <w:t>C</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D</w:t>
      </w:r>
      <w:r>
        <w:rPr>
          <w:rFonts w:hint="eastAsia" w:ascii="方正仿宋_GBK" w:hAnsi="方正仿宋_GBK" w:eastAsia="方正仿宋_GBK" w:cs="方正仿宋_GBK"/>
          <w:kern w:val="2"/>
          <w:sz w:val="32"/>
          <w:szCs w:val="32"/>
          <w:lang w:val="en-US" w:eastAsia="zh-CN" w:bidi="ar"/>
        </w:rPr>
        <w:t>级办公危房过渡搬迁相关维修改造费用的请示》（攀机服〔</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号）文件中明确</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拟将市城管执法局、市信访局、市卫监支队、仁和区法院同德法庭</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处</w:t>
      </w:r>
      <w:r>
        <w:rPr>
          <w:rFonts w:hint="default" w:ascii="Times New Roman" w:hAnsi="Times New Roman" w:eastAsia="方正仿宋_GBK" w:cs="Times New Roman"/>
          <w:kern w:val="2"/>
          <w:sz w:val="32"/>
          <w:szCs w:val="32"/>
          <w:lang w:val="en-US" w:eastAsia="zh-CN" w:bidi="ar"/>
        </w:rPr>
        <w:t>C</w:t>
      </w:r>
      <w:r>
        <w:rPr>
          <w:rFonts w:hint="eastAsia" w:ascii="方正仿宋_GBK" w:hAnsi="方正仿宋_GBK" w:eastAsia="方正仿宋_GBK" w:cs="方正仿宋_GBK"/>
          <w:kern w:val="2"/>
          <w:sz w:val="32"/>
          <w:szCs w:val="32"/>
          <w:lang w:val="en-US" w:eastAsia="zh-CN" w:bidi="ar"/>
        </w:rPr>
        <w:t>级危房进行维修加固，预计处置费用约</w:t>
      </w:r>
      <w:r>
        <w:rPr>
          <w:rFonts w:hint="default" w:ascii="Times New Roman" w:hAnsi="Times New Roman" w:eastAsia="方正仿宋_GBK" w:cs="Times New Roman"/>
          <w:kern w:val="2"/>
          <w:sz w:val="32"/>
          <w:szCs w:val="32"/>
          <w:lang w:val="en-US" w:eastAsia="zh-CN" w:bidi="ar"/>
        </w:rPr>
        <w:t>182</w:t>
      </w:r>
      <w:r>
        <w:rPr>
          <w:rFonts w:hint="eastAsia" w:ascii="方正仿宋_GBK" w:hAnsi="方正仿宋_GBK" w:eastAsia="方正仿宋_GBK" w:cs="方正仿宋_GBK"/>
          <w:kern w:val="2"/>
          <w:sz w:val="32"/>
          <w:szCs w:val="32"/>
          <w:lang w:val="en-US" w:eastAsia="zh-CN" w:bidi="ar"/>
        </w:rPr>
        <w:t>万元。</w:t>
      </w:r>
      <w:r>
        <w:rPr>
          <w:rFonts w:hint="default" w:ascii="Times New Roman" w:hAnsi="Times New Roman" w:eastAsia="方正仿宋_GBK" w:cs="Times New Roman"/>
          <w:kern w:val="2"/>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资金支持范围涵盖工程施工费用、工程建设其他费用（包括施工图纸设计费用、施工图纸审查费用、造价清单编制费用、工程监理费用、安全鉴定费用、竣工结算审核费用等）。资金支持方式采用财政拨款，按照项目进度和合同约定进行支付，确保资金专款专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4. </w:t>
      </w:r>
      <w:r>
        <w:rPr>
          <w:rFonts w:hint="eastAsia" w:ascii="方正仿宋_GBK" w:hAnsi="方正仿宋_GBK" w:eastAsia="方正仿宋_GBK" w:cs="方正仿宋_GBK"/>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方正仿宋_GBK" w:hAnsi="方正仿宋_GBK" w:eastAsia="方正仿宋_GBK" w:cs="方正仿宋_GBK"/>
          <w:kern w:val="2"/>
          <w:sz w:val="32"/>
          <w:szCs w:val="32"/>
          <w:lang w:val="en-US" w:eastAsia="zh-CN" w:bidi="ar"/>
        </w:rPr>
        <w:t>资金分配遵循</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按需分配、保障重点</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的原则，充分考虑各项目的实际需求和重要程度，优先保障工程施工费用；同时合理安排工程建设其他费用，保证项目各环节的质量和规范性。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1. </w:t>
      </w:r>
      <w:r>
        <w:rPr>
          <w:rFonts w:hint="eastAsia" w:ascii="方正仿宋_GBK" w:hAnsi="方正仿宋_GBK" w:eastAsia="方正仿宋_GBK" w:cs="方正仿宋_GBK"/>
          <w:kern w:val="2"/>
          <w:sz w:val="32"/>
          <w:szCs w:val="32"/>
          <w:lang w:val="en-US" w:eastAsia="zh-CN" w:bidi="ar"/>
        </w:rPr>
        <w:t>项目主要内容。</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请专业鉴定公司对我单位办公楼进行安全鉴定，根据鉴定报告，对完整性较差的墙体采用高延性混凝土进行加固，对局部楼板、梁采用对应方式进行加固，并采取减自重方式，拆除部分墙体。</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2. </w:t>
      </w:r>
      <w:r>
        <w:rPr>
          <w:rFonts w:hint="eastAsia" w:ascii="方正仿宋_GBK" w:hAnsi="方正仿宋_GBK" w:eastAsia="方正仿宋_GBK" w:cs="方正仿宋_GBK"/>
          <w:kern w:val="2"/>
          <w:sz w:val="32"/>
          <w:szCs w:val="32"/>
          <w:lang w:val="en-US" w:eastAsia="zh-CN" w:bidi="ar"/>
        </w:rPr>
        <w:t>项目应实现的具体绩效目标。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该项目的资金使用不产生直接的经济效益，主要体现在社会效益以及可持续影响方面。通过对办公楼维修加固，提升机关工作安全性，减少安全事故的发生，保障人员和财产安全，确保城管工作正常运转，提高工作效率；同时通过维修加固延长建筑使用寿命，降低长期维护成本。</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3. </w:t>
      </w:r>
      <w:r>
        <w:rPr>
          <w:rFonts w:hint="eastAsia" w:ascii="方正仿宋_GBK" w:hAnsi="方正仿宋_GBK" w:eastAsia="方正仿宋_GBK" w:cs="方正仿宋_GBK"/>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方正仿宋_GBK" w:hAnsi="方正仿宋_GBK" w:eastAsia="方正仿宋_GBK" w:cs="方正仿宋_GBK"/>
          <w:kern w:val="2"/>
          <w:sz w:val="32"/>
          <w:szCs w:val="32"/>
          <w:lang w:val="en-US" w:eastAsia="zh-CN" w:bidi="ar"/>
        </w:rPr>
        <w:t>成立绩效自评小组，通过采用“资料核查</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现场查验”方式，对照施工图纸、验收报告、项目实地情况等方式，收集实施过程中的相关数据与信息；对照项目绩效目标和评价指标体系，运用定量与定性相结合的方法，对项目完成情况、资金使用情况、社会效益和可持续影响等方面进行综合分析评价；最后根据分析评价结果撰写项目绩效自评报告。</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方正仿宋_GBK" w:hAnsi="方正仿宋_GBK" w:eastAsia="方正仿宋_GBK" w:cs="方正仿宋_GBK"/>
          <w:kern w:val="2"/>
          <w:sz w:val="32"/>
          <w:szCs w:val="32"/>
          <w:lang w:val="en-US" w:eastAsia="zh-CN" w:bidi="ar"/>
        </w:rPr>
        <w:t>该项目资金申报是根据我局办公楼在维修加固过程中实际产生的资金费用进行编制上报。我局办公楼维修加固工程总投资</w:t>
      </w:r>
      <w:r>
        <w:rPr>
          <w:rFonts w:hint="default" w:ascii="Times New Roman" w:hAnsi="Times New Roman" w:eastAsia="方正仿宋_GBK" w:cs="Times New Roman"/>
          <w:kern w:val="2"/>
          <w:sz w:val="32"/>
          <w:szCs w:val="32"/>
          <w:lang w:val="en-US" w:eastAsia="zh-CN" w:bidi="ar"/>
        </w:rPr>
        <w:t>57.782963</w:t>
      </w:r>
      <w:r>
        <w:rPr>
          <w:rFonts w:hint="eastAsia" w:ascii="方正仿宋_GBK" w:hAnsi="方正仿宋_GBK" w:eastAsia="方正仿宋_GBK" w:cs="方正仿宋_GBK"/>
          <w:kern w:val="2"/>
          <w:sz w:val="32"/>
          <w:szCs w:val="32"/>
          <w:lang w:val="en-US" w:eastAsia="zh-CN" w:bidi="ar"/>
        </w:rPr>
        <w:t>万元。其中包括决算审计后工程施工费用</w:t>
      </w:r>
      <w:r>
        <w:rPr>
          <w:rFonts w:hint="default" w:ascii="Times New Roman" w:hAnsi="Times New Roman" w:eastAsia="方正仿宋_GBK" w:cs="Times New Roman"/>
          <w:kern w:val="2"/>
          <w:sz w:val="32"/>
          <w:szCs w:val="32"/>
          <w:lang w:val="en-US" w:eastAsia="zh-CN" w:bidi="ar"/>
        </w:rPr>
        <w:t>49.242963</w:t>
      </w:r>
      <w:r>
        <w:rPr>
          <w:rFonts w:hint="eastAsia" w:ascii="方正仿宋_GBK" w:hAnsi="方正仿宋_GBK" w:eastAsia="方正仿宋_GBK" w:cs="方正仿宋_GBK"/>
          <w:kern w:val="2"/>
          <w:sz w:val="32"/>
          <w:szCs w:val="32"/>
          <w:lang w:val="en-US" w:eastAsia="zh-CN" w:bidi="ar"/>
        </w:rPr>
        <w:t>万元；工程建设其他费用</w:t>
      </w:r>
      <w:r>
        <w:rPr>
          <w:rFonts w:hint="default" w:ascii="Times New Roman" w:hAnsi="Times New Roman" w:eastAsia="方正仿宋_GBK" w:cs="Times New Roman"/>
          <w:kern w:val="2"/>
          <w:sz w:val="32"/>
          <w:szCs w:val="32"/>
          <w:lang w:val="en-US" w:eastAsia="zh-CN" w:bidi="ar"/>
        </w:rPr>
        <w:t>8.54</w:t>
      </w:r>
      <w:r>
        <w:rPr>
          <w:rFonts w:hint="eastAsia" w:ascii="方正仿宋_GBK" w:hAnsi="方正仿宋_GBK" w:eastAsia="方正仿宋_GBK" w:cs="方正仿宋_GBK"/>
          <w:kern w:val="2"/>
          <w:sz w:val="32"/>
          <w:szCs w:val="32"/>
          <w:lang w:val="en-US" w:eastAsia="zh-CN" w:bidi="ar"/>
        </w:rPr>
        <w:t>万元（施工图纸设计费用</w:t>
      </w:r>
      <w:r>
        <w:rPr>
          <w:rFonts w:hint="default" w:ascii="Times New Roman" w:hAnsi="Times New Roman" w:eastAsia="方正仿宋_GBK" w:cs="Times New Roman"/>
          <w:kern w:val="2"/>
          <w:sz w:val="32"/>
          <w:szCs w:val="32"/>
          <w:lang w:val="en-US" w:eastAsia="zh-CN" w:bidi="ar"/>
        </w:rPr>
        <w:t>3.38</w:t>
      </w:r>
      <w:r>
        <w:rPr>
          <w:rFonts w:hint="eastAsia" w:ascii="方正仿宋_GBK" w:hAnsi="方正仿宋_GBK" w:eastAsia="方正仿宋_GBK" w:cs="方正仿宋_GBK"/>
          <w:kern w:val="2"/>
          <w:sz w:val="32"/>
          <w:szCs w:val="32"/>
          <w:lang w:val="en-US" w:eastAsia="zh-CN" w:bidi="ar"/>
        </w:rPr>
        <w:t>万元、施工图纸审查费用</w:t>
      </w:r>
      <w:r>
        <w:rPr>
          <w:rFonts w:hint="default" w:ascii="Times New Roman" w:hAnsi="Times New Roman" w:eastAsia="方正仿宋_GBK" w:cs="Times New Roman"/>
          <w:kern w:val="2"/>
          <w:sz w:val="32"/>
          <w:szCs w:val="32"/>
          <w:lang w:val="en-US" w:eastAsia="zh-CN" w:bidi="ar"/>
        </w:rPr>
        <w:t>0.4</w:t>
      </w:r>
      <w:r>
        <w:rPr>
          <w:rFonts w:hint="eastAsia" w:ascii="方正仿宋_GBK" w:hAnsi="方正仿宋_GBK" w:eastAsia="方正仿宋_GBK" w:cs="方正仿宋_GBK"/>
          <w:kern w:val="2"/>
          <w:sz w:val="32"/>
          <w:szCs w:val="32"/>
          <w:lang w:val="en-US" w:eastAsia="zh-CN" w:bidi="ar"/>
        </w:rPr>
        <w:t>万元、造价清单编制费用</w:t>
      </w:r>
      <w:r>
        <w:rPr>
          <w:rFonts w:hint="default" w:ascii="Times New Roman" w:hAnsi="Times New Roman" w:eastAsia="方正仿宋_GBK" w:cs="Times New Roman"/>
          <w:kern w:val="2"/>
          <w:sz w:val="32"/>
          <w:szCs w:val="32"/>
          <w:lang w:val="en-US" w:eastAsia="zh-CN" w:bidi="ar"/>
        </w:rPr>
        <w:t>0.26</w:t>
      </w:r>
      <w:r>
        <w:rPr>
          <w:rFonts w:hint="eastAsia" w:ascii="方正仿宋_GBK" w:hAnsi="方正仿宋_GBK" w:eastAsia="方正仿宋_GBK" w:cs="方正仿宋_GBK"/>
          <w:kern w:val="2"/>
          <w:sz w:val="32"/>
          <w:szCs w:val="32"/>
          <w:lang w:val="en-US" w:eastAsia="zh-CN" w:bidi="ar"/>
        </w:rPr>
        <w:t>万元、工程监理费用</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万元、安全鉴定费用</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万元、竣工结算审核费用</w:t>
      </w:r>
      <w:r>
        <w:rPr>
          <w:rFonts w:hint="default" w:ascii="Times New Roman" w:hAnsi="Times New Roman" w:eastAsia="方正仿宋_GBK" w:cs="Times New Roman"/>
          <w:kern w:val="2"/>
          <w:sz w:val="32"/>
          <w:szCs w:val="32"/>
          <w:lang w:val="en-US" w:eastAsia="zh-CN" w:bidi="ar"/>
        </w:rPr>
        <w:t>0.3</w:t>
      </w:r>
      <w:r>
        <w:rPr>
          <w:rFonts w:hint="eastAsia" w:ascii="方正仿宋_GBK" w:hAnsi="方正仿宋_GBK" w:eastAsia="方正仿宋_GBK" w:cs="方正仿宋_GBK"/>
          <w:kern w:val="2"/>
          <w:sz w:val="32"/>
          <w:szCs w:val="32"/>
          <w:lang w:val="en-US" w:eastAsia="zh-CN" w:bidi="ar"/>
        </w:rPr>
        <w:t>万元）。市财政根据项目的申报内容，经过各方会审通过后，在</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年安排下达项目资金</w:t>
      </w:r>
      <w:r>
        <w:rPr>
          <w:rFonts w:hint="default" w:ascii="Times New Roman" w:hAnsi="Times New Roman" w:eastAsia="方正仿宋_GBK" w:cs="Times New Roman"/>
          <w:kern w:val="2"/>
          <w:sz w:val="32"/>
          <w:szCs w:val="32"/>
          <w:lang w:val="en-US" w:eastAsia="zh-CN" w:bidi="ar"/>
        </w:rPr>
        <w:t>28.918481</w:t>
      </w:r>
      <w:r>
        <w:rPr>
          <w:rFonts w:hint="eastAsia" w:ascii="方正仿宋_GBK" w:hAnsi="方正仿宋_GBK" w:eastAsia="方正仿宋_GBK" w:cs="方正仿宋_GBK"/>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（二）资金计划、到位及使用情况。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．资金计划。</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年，市财政下达项目资金</w:t>
      </w:r>
      <w:r>
        <w:rPr>
          <w:rFonts w:hint="default" w:ascii="Times New Roman" w:hAnsi="Times New Roman" w:eastAsia="方正仿宋_GBK" w:cs="Times New Roman"/>
          <w:kern w:val="2"/>
          <w:sz w:val="32"/>
          <w:szCs w:val="32"/>
          <w:lang w:val="en-US" w:eastAsia="zh-CN" w:bidi="ar"/>
        </w:rPr>
        <w:t>28.918481</w:t>
      </w:r>
      <w:r>
        <w:rPr>
          <w:rFonts w:hint="eastAsia" w:ascii="方正仿宋_GBK" w:hAnsi="方正仿宋_GBK" w:eastAsia="方正仿宋_GBK" w:cs="方正仿宋_GBK"/>
          <w:kern w:val="2"/>
          <w:sz w:val="32"/>
          <w:szCs w:val="32"/>
          <w:lang w:val="en-US" w:eastAsia="zh-CN" w:bidi="ar"/>
        </w:rPr>
        <w:t>万元，经费全部来自财政拨款。此项经费用于支付施工费用</w:t>
      </w:r>
      <w:r>
        <w:rPr>
          <w:rFonts w:hint="default" w:ascii="Times New Roman" w:hAnsi="Times New Roman" w:eastAsia="方正仿宋_GBK" w:cs="Times New Roman"/>
          <w:kern w:val="2"/>
          <w:sz w:val="32"/>
          <w:szCs w:val="32"/>
          <w:lang w:val="en-US" w:eastAsia="zh-CN" w:bidi="ar"/>
        </w:rPr>
        <w:t>27.458481</w:t>
      </w:r>
      <w:r>
        <w:rPr>
          <w:rFonts w:hint="eastAsia" w:ascii="方正仿宋_GBK" w:hAnsi="方正仿宋_GBK" w:eastAsia="方正仿宋_GBK" w:cs="方正仿宋_GBK"/>
          <w:kern w:val="2"/>
          <w:sz w:val="32"/>
          <w:szCs w:val="32"/>
          <w:lang w:val="en-US" w:eastAsia="zh-CN" w:bidi="ar"/>
        </w:rPr>
        <w:t>万元、造价清单编制费用</w:t>
      </w:r>
      <w:r>
        <w:rPr>
          <w:rFonts w:hint="default" w:ascii="Times New Roman" w:hAnsi="Times New Roman" w:eastAsia="方正仿宋_GBK" w:cs="Times New Roman"/>
          <w:kern w:val="2"/>
          <w:sz w:val="32"/>
          <w:szCs w:val="32"/>
          <w:lang w:val="en-US" w:eastAsia="zh-CN" w:bidi="ar"/>
        </w:rPr>
        <w:t>0.26</w:t>
      </w:r>
      <w:r>
        <w:rPr>
          <w:rFonts w:hint="eastAsia" w:ascii="方正仿宋_GBK" w:hAnsi="方正仿宋_GBK" w:eastAsia="方正仿宋_GBK" w:cs="方正仿宋_GBK"/>
          <w:kern w:val="2"/>
          <w:sz w:val="32"/>
          <w:szCs w:val="32"/>
          <w:lang w:val="en-US" w:eastAsia="zh-CN" w:bidi="ar"/>
        </w:rPr>
        <w:t>万元、工程监理费用</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．资金到位。</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年，市财政局已拨付市城管执法局办公楼维修加固项目资金</w:t>
      </w:r>
      <w:r>
        <w:rPr>
          <w:rFonts w:hint="default" w:ascii="Times New Roman" w:hAnsi="Times New Roman" w:eastAsia="方正仿宋_GBK" w:cs="Times New Roman"/>
          <w:kern w:val="2"/>
          <w:sz w:val="32"/>
          <w:szCs w:val="32"/>
          <w:lang w:val="en-US" w:eastAsia="zh-CN" w:bidi="ar"/>
        </w:rPr>
        <w:t>28.918481</w:t>
      </w:r>
      <w:r>
        <w:rPr>
          <w:rFonts w:hint="eastAsia" w:ascii="方正仿宋_GBK" w:hAnsi="方正仿宋_GBK" w:eastAsia="方正仿宋_GBK" w:cs="方正仿宋_GBK"/>
          <w:kern w:val="2"/>
          <w:sz w:val="32"/>
          <w:szCs w:val="32"/>
          <w:lang w:val="en-US" w:eastAsia="zh-CN" w:bidi="ar"/>
        </w:rPr>
        <w:t>万元，资金到位及时，到位率</w:t>
      </w:r>
      <w:r>
        <w:rPr>
          <w:rFonts w:hint="default" w:ascii="Times New Roman" w:hAnsi="Times New Roman" w:eastAsia="方正仿宋_GBK" w:cs="Times New Roman"/>
          <w:kern w:val="2"/>
          <w:sz w:val="32"/>
          <w:szCs w:val="32"/>
          <w:lang w:val="en-US" w:eastAsia="zh-CN" w:bidi="ar"/>
        </w:rPr>
        <w:t>100%</w:t>
      </w:r>
      <w:r>
        <w:rPr>
          <w:rFonts w:hint="eastAsia" w:ascii="方正仿宋_GBK" w:hAnsi="方正仿宋_GBK" w:eastAsia="方正仿宋_GBK" w:cs="方正仿宋_GBK"/>
          <w:kern w:val="2"/>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．资金使用。</w:t>
      </w:r>
      <w:r>
        <w:rPr>
          <w:rFonts w:hint="default" w:ascii="Times New Roman" w:hAnsi="Times New Roman" w:eastAsia="方正仿宋_GBK" w:cs="Times New Roman"/>
          <w:kern w:val="2"/>
          <w:sz w:val="32"/>
          <w:szCs w:val="32"/>
          <w:lang w:val="en-US" w:eastAsia="zh-CN" w:bidi="ar"/>
        </w:rPr>
        <w:t>2025</w:t>
      </w:r>
      <w:r>
        <w:rPr>
          <w:rFonts w:hint="eastAsia" w:ascii="方正仿宋_GBK" w:hAnsi="方正仿宋_GBK" w:eastAsia="方正仿宋_GBK" w:cs="方正仿宋_GBK"/>
          <w:kern w:val="2"/>
          <w:sz w:val="32"/>
          <w:szCs w:val="32"/>
          <w:lang w:val="en-US" w:eastAsia="zh-CN" w:bidi="ar"/>
        </w:rPr>
        <w:t>年，市财政局拨付市城管执法局办公楼维修加固项目资金</w:t>
      </w:r>
      <w:r>
        <w:rPr>
          <w:rFonts w:hint="default" w:ascii="Times New Roman" w:hAnsi="Times New Roman" w:eastAsia="方正仿宋_GBK" w:cs="Times New Roman"/>
          <w:kern w:val="2"/>
          <w:sz w:val="32"/>
          <w:szCs w:val="32"/>
          <w:lang w:val="en-US" w:eastAsia="zh-CN" w:bidi="ar"/>
        </w:rPr>
        <w:t>28.918481</w:t>
      </w:r>
      <w:r>
        <w:rPr>
          <w:rFonts w:hint="eastAsia" w:ascii="方正仿宋_GBK" w:hAnsi="方正仿宋_GBK" w:eastAsia="方正仿宋_GBK" w:cs="方正仿宋_GBK"/>
          <w:kern w:val="2"/>
          <w:sz w:val="32"/>
          <w:szCs w:val="32"/>
          <w:lang w:val="en-US" w:eastAsia="zh-CN" w:bidi="ar"/>
        </w:rPr>
        <w:t>万元，此项经费用于支付施工费用</w:t>
      </w:r>
      <w:r>
        <w:rPr>
          <w:rFonts w:hint="default" w:ascii="Times New Roman" w:hAnsi="Times New Roman" w:eastAsia="方正仿宋_GBK" w:cs="Times New Roman"/>
          <w:kern w:val="2"/>
          <w:sz w:val="32"/>
          <w:szCs w:val="32"/>
          <w:lang w:val="en-US" w:eastAsia="zh-CN" w:bidi="ar"/>
        </w:rPr>
        <w:t>27.458481</w:t>
      </w:r>
      <w:r>
        <w:rPr>
          <w:rFonts w:hint="eastAsia" w:ascii="方正仿宋_GBK" w:hAnsi="方正仿宋_GBK" w:eastAsia="方正仿宋_GBK" w:cs="方正仿宋_GBK"/>
          <w:kern w:val="2"/>
          <w:sz w:val="32"/>
          <w:szCs w:val="32"/>
          <w:lang w:val="en-US" w:eastAsia="zh-CN" w:bidi="ar"/>
        </w:rPr>
        <w:t>万元、造价清单编制费用</w:t>
      </w:r>
      <w:r>
        <w:rPr>
          <w:rFonts w:hint="default" w:ascii="Times New Roman" w:hAnsi="Times New Roman" w:eastAsia="方正仿宋_GBK" w:cs="Times New Roman"/>
          <w:kern w:val="2"/>
          <w:sz w:val="32"/>
          <w:szCs w:val="32"/>
          <w:lang w:val="en-US" w:eastAsia="zh-CN" w:bidi="ar"/>
        </w:rPr>
        <w:t>0.26</w:t>
      </w:r>
      <w:r>
        <w:rPr>
          <w:rFonts w:hint="eastAsia" w:ascii="方正仿宋_GBK" w:hAnsi="方正仿宋_GBK" w:eastAsia="方正仿宋_GBK" w:cs="方正仿宋_GBK"/>
          <w:kern w:val="2"/>
          <w:sz w:val="32"/>
          <w:szCs w:val="32"/>
          <w:lang w:val="en-US" w:eastAsia="zh-CN" w:bidi="ar"/>
        </w:rPr>
        <w:t>万元、工程监理费用</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万元，共支付</w:t>
      </w:r>
      <w:r>
        <w:rPr>
          <w:rFonts w:hint="default" w:ascii="Times New Roman" w:hAnsi="Times New Roman" w:eastAsia="方正仿宋_GBK" w:cs="Times New Roman"/>
          <w:kern w:val="2"/>
          <w:sz w:val="32"/>
          <w:szCs w:val="32"/>
          <w:lang w:val="en-US" w:eastAsia="zh-CN" w:bidi="ar"/>
        </w:rPr>
        <w:t>28.918481</w:t>
      </w:r>
      <w:r>
        <w:rPr>
          <w:rFonts w:hint="eastAsia" w:ascii="方正仿宋_GBK" w:hAnsi="方正仿宋_GBK" w:eastAsia="方正仿宋_GBK" w:cs="方正仿宋_GBK"/>
          <w:kern w:val="2"/>
          <w:sz w:val="32"/>
          <w:szCs w:val="32"/>
          <w:lang w:val="en-US" w:eastAsia="zh-CN" w:bidi="ar"/>
        </w:rPr>
        <w:t>万元，支付率</w:t>
      </w:r>
      <w:r>
        <w:rPr>
          <w:rFonts w:hint="default" w:ascii="Times New Roman" w:hAnsi="Times New Roman" w:eastAsia="方正仿宋_GBK" w:cs="Times New Roman"/>
          <w:kern w:val="2"/>
          <w:sz w:val="32"/>
          <w:szCs w:val="32"/>
          <w:lang w:val="en-US" w:eastAsia="zh-CN" w:bidi="ar"/>
        </w:rPr>
        <w:t>100%</w:t>
      </w:r>
      <w:r>
        <w:rPr>
          <w:rFonts w:hint="eastAsia" w:ascii="方正仿宋_GBK" w:hAnsi="方正仿宋_GBK" w:eastAsia="方正仿宋_GBK" w:cs="方正仿宋_GBK"/>
          <w:kern w:val="2"/>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各项目实施单位财务管理制度健全。在项目实施过程中，严格执行财务管理制度，制定了详细的资金审批流程和报销标准，确保每一笔资金支出都经过严格审核。账务处理及时，能够按照财务核算要求，及时对项目资金的收支情况进行账务登记和核算。会计核算规范，采用统一的会计科目和核算方法，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方正仿宋_GBK" w:hAnsi="方正仿宋_GBK" w:eastAsia="方正仿宋_GBK" w:cs="方正仿宋_GBK"/>
          <w:kern w:val="2"/>
          <w:sz w:val="32"/>
          <w:szCs w:val="32"/>
          <w:lang w:val="en-US" w:eastAsia="zh-CN" w:bidi="ar"/>
        </w:rPr>
        <w:t>我单位项目实施首先由实施科室提供项目需求和绩效目标，经领导审批后由局计财科编制部门预算项目经费需求，经党组会审议通过后报市财政局，预算批复后，由经办科室根据实际情况实施政府采购或分散采购、合同签订、办理采购资金支付申请和涉及固定资产登记、落实验收、提供项目绩效评价报告。局计财科负责按合同约定办理资金支付；法规科和法律顾问负责项目实施过程中的法律服务和支持；纪检部门负责对项目实施全过程进行监督。</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（二）项目管理情况。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我单位财务管理制度健全，严格执行财务管理制度，项目资金账务处理及时，会计核算规范。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（三）项目监管情况。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方正仿宋_GBK" w:hAnsi="方正仿宋_GBK" w:eastAsia="方正仿宋_GBK" w:cs="方正仿宋_GBK"/>
          <w:kern w:val="2"/>
          <w:sz w:val="32"/>
          <w:szCs w:val="32"/>
          <w:lang w:val="en-US" w:eastAsia="zh-CN" w:bidi="ar"/>
        </w:rPr>
        <w:t>我单位采取多种监管手段，项目前期，对项目设计方案、施工单位资质等进行严格审核，确保项目具备实施条件；项目中期，定期对项目进度、质量和资金使用情况进行检查，及时发现问题并督促整改；同时，充分发挥纪检部门监督作用，对项目实施全过程进行廉政监督，防止出现违规违纪行为。通过这些监管手段和程序，有效保障项目顺利实施，确保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在项目完成数量方面，已完成办公楼安全鉴定、施工图纸设计、审查、部分施工等工作，达到预期阶段性目标；在质量方面，已完成工程部分检查验收，符合相关质量标准和设计要求；在时效方面，按照项目实施进度计划，各阶段工作均按时完成；在成本控制方面，已使用资金</w:t>
      </w:r>
      <w:r>
        <w:rPr>
          <w:rFonts w:hint="default" w:ascii="Times New Roman" w:hAnsi="Times New Roman" w:eastAsia="方正仿宋_GBK" w:cs="Times New Roman"/>
          <w:kern w:val="2"/>
          <w:sz w:val="32"/>
          <w:szCs w:val="32"/>
          <w:lang w:val="en-US" w:eastAsia="zh-CN" w:bidi="ar"/>
        </w:rPr>
        <w:t xml:space="preserve">28.918481 </w:t>
      </w:r>
      <w:r>
        <w:rPr>
          <w:rFonts w:hint="eastAsia" w:ascii="方正仿宋_GBK" w:hAnsi="方正仿宋_GBK" w:eastAsia="方正仿宋_GBK" w:cs="方正仿宋_GBK"/>
          <w:kern w:val="2"/>
          <w:sz w:val="32"/>
          <w:szCs w:val="32"/>
          <w:lang w:val="en-US" w:eastAsia="zh-CN" w:bidi="ar"/>
        </w:rPr>
        <w:t>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该项目的资金使用不产生直接的经济效益，主要体现在社会效益以及可持续影响方面。通过对办公楼维修加固，提升机关工作安全性，减少安全事故的发生，保障人员和财产安全，确保城管工作正常运转，提高工作效率；同时通过维修加固延长建筑使用寿命，降低长期维护成本。</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在项目实施过程中，虽然采取了多种监管手段，但在一些细节方面，如对施工过程中部分隐蔽工程的监管力度不够，存在一定的监管漏洞。主要原因是监管人员数量有限，且单位监管人员专业知识不足。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方正楷体_GBK" w:hAnsi="Times New Roman" w:eastAsia="方正楷体_GBK" w:cs="Times New Roman"/>
          <w:b/>
          <w:kern w:val="2"/>
          <w:sz w:val="32"/>
          <w:szCs w:val="32"/>
        </w:rPr>
      </w:pPr>
      <w:r>
        <w:rPr>
          <w:rFonts w:hint="eastAsia" w:ascii="方正楷体_GBK" w:hAnsi="方正楷体_GBK" w:eastAsia="方正楷体_GBK" w:cs="方正楷体_GBK"/>
          <w:b/>
          <w:kern w:val="2"/>
          <w:sz w:val="32"/>
          <w:szCs w:val="32"/>
          <w:lang w:val="en-US" w:eastAsia="zh-CN" w:bidi="ar"/>
        </w:rPr>
        <w:t>（三）相关建议。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建立健全项目监管机制，加强对项目实施全过程的监督检查，特别是对隐蔽工程等关键环节的监管，确保项目质量和安全。</w:t>
      </w:r>
    </w:p>
    <w:p>
      <w:pPr>
        <w:pStyle w:val="17"/>
        <w:keepNext w:val="0"/>
        <w:keepLines w:val="0"/>
        <w:widowControl w:val="0"/>
        <w:suppressLineNumbers w:val="0"/>
        <w:spacing w:before="0" w:beforeAutospacing="0" w:after="0" w:afterAutospacing="0" w:line="600" w:lineRule="exact"/>
        <w:ind w:left="0" w:right="0"/>
        <w:jc w:val="center"/>
        <w:rPr>
          <w:rFonts w:hint="eastAsia" w:ascii="??" w:hAnsi="??" w:eastAsia="宋体" w:cs="Times New Roman"/>
          <w:color w:val="000000"/>
          <w:kern w:val="0"/>
          <w:sz w:val="28"/>
          <w:szCs w:val="28"/>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240" w:lineRule="auto"/>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eastAsia="仿宋_GB2312" w:cs="仿宋_GB2312"/>
          <w:kern w:val="2"/>
          <w:sz w:val="32"/>
          <w:szCs w:val="32"/>
        </w:rPr>
      </w:pPr>
      <w:r>
        <w:rPr>
          <w:rFonts w:hint="eastAsia" w:ascii="仿宋_GB2312" w:hAnsi="Courier New" w:eastAsia="仿宋_GB2312" w:cs="仿宋_GB2312"/>
          <w:kern w:val="2"/>
          <w:sz w:val="32"/>
          <w:szCs w:val="32"/>
          <w:lang w:val="en-US" w:eastAsia="zh-CN" w:bidi="ar"/>
        </w:rPr>
        <w:t>（园林物资循环站生产养护费用）</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市城管执法局作为本项目采购主体，负责园林物资循环站生产养护项目的采购和实施，局属单位攀枝花市园林绿化服务中心履行日常管理的业主责任，按合同约定在项目执行中开展技术指导、计划下达、监督考核、履约验收、协助办理费用支付等过程管理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根据《中华人民共和国政府采购法》规定立项、申报，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资金支持条件根据《园林物资循环站生产养护项目》中明确“园林物资循环站生产养护，费用</w:t>
      </w:r>
      <w:r>
        <w:rPr>
          <w:rFonts w:hint="default" w:ascii="Times New Roman" w:hAnsi="Times New Roman" w:eastAsia="仿宋_GB2312" w:cs="Times New Roman"/>
          <w:kern w:val="2"/>
          <w:sz w:val="32"/>
          <w:szCs w:val="32"/>
          <w:lang w:val="en-US" w:eastAsia="zh-CN" w:bidi="ar"/>
        </w:rPr>
        <w:t>29.8</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资金支持范围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、苗木生产，完成承包期内的苗木生产任务，要求出圃合格率</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，杂草率控制在出圃数量的</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，未出圃的苗木自动转入生产养护中进行日常养护。生产任务计划以外品种的苗木生产，根据苗木类别、扦插方式参照成交供应商成交价核定单价，按实际生产合格数量结算费用。</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、苗木管护：包括卫生保洁，守夜巡查、植物修剪整形、水肥管理、病虫害防治及其他园林养护工作。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资金支持方式采用财政拨款，实际费用按月考核分期支付，根据成交供应商所完成的实际数量，按照报价折算出管护费用，通过制定的管理标准和考核办法考核后，在收到成交供应商出具的正规发票后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个工作日内采购人报财政审批同意后以转账的方式拨付承包费用。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4. </w:t>
      </w: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实际费用按月考核支付，根据成交供应商所完成的实际数量，按照报价折算出管护费用，通过制定的管理标准和考核办法考核后支付。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苗圃地管护面积</w:t>
      </w:r>
      <w:r>
        <w:rPr>
          <w:rFonts w:hint="default" w:ascii="Times New Roman" w:hAnsi="Times New Roman" w:eastAsia="仿宋_GB2312" w:cs="Times New Roman"/>
          <w:kern w:val="2"/>
          <w:sz w:val="32"/>
          <w:szCs w:val="32"/>
          <w:lang w:val="en-US" w:eastAsia="zh-CN" w:bidi="ar"/>
        </w:rPr>
        <w:t>25000</w:t>
      </w:r>
      <w:r>
        <w:rPr>
          <w:rFonts w:hint="eastAsia" w:ascii="仿宋_GB2312" w:hAnsi="Times New Roman" w:eastAsia="仿宋_GB2312" w:cs="仿宋_GB2312"/>
          <w:kern w:val="2"/>
          <w:sz w:val="32"/>
          <w:szCs w:val="32"/>
          <w:lang w:val="en-US" w:eastAsia="zh-CN" w:bidi="ar"/>
        </w:rPr>
        <w:t>平方米，大棚区管护面积</w:t>
      </w:r>
      <w:r>
        <w:rPr>
          <w:rFonts w:hint="default" w:ascii="Times New Roman" w:hAnsi="Times New Roman" w:eastAsia="仿宋_GB2312" w:cs="Times New Roman"/>
          <w:kern w:val="2"/>
          <w:sz w:val="32"/>
          <w:szCs w:val="32"/>
          <w:lang w:val="en-US" w:eastAsia="zh-CN" w:bidi="ar"/>
        </w:rPr>
        <w:t>9300</w:t>
      </w:r>
      <w:r>
        <w:rPr>
          <w:rFonts w:hint="eastAsia" w:ascii="仿宋_GB2312" w:hAnsi="Times New Roman" w:eastAsia="仿宋_GB2312" w:cs="仿宋_GB2312"/>
          <w:kern w:val="2"/>
          <w:sz w:val="32"/>
          <w:szCs w:val="32"/>
          <w:lang w:val="en-US" w:eastAsia="zh-CN" w:bidi="ar"/>
        </w:rPr>
        <w:t>平方米，苗木扦插繁殖数量</w:t>
      </w:r>
      <w:r>
        <w:rPr>
          <w:rFonts w:hint="default" w:ascii="Times New Roman" w:hAnsi="Times New Roman" w:eastAsia="仿宋_GB2312" w:cs="Times New Roman"/>
          <w:kern w:val="2"/>
          <w:sz w:val="32"/>
          <w:szCs w:val="32"/>
          <w:lang w:val="en-US" w:eastAsia="zh-CN" w:bidi="ar"/>
        </w:rPr>
        <w:t>78000</w:t>
      </w:r>
      <w:r>
        <w:rPr>
          <w:rFonts w:hint="eastAsia" w:ascii="仿宋_GB2312" w:hAnsi="Times New Roman" w:eastAsia="仿宋_GB2312" w:cs="仿宋_GB2312"/>
          <w:kern w:val="2"/>
          <w:sz w:val="32"/>
          <w:szCs w:val="32"/>
          <w:lang w:val="en-US" w:eastAsia="zh-CN" w:bidi="ar"/>
        </w:rPr>
        <w:t>株。</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园林物资循环站生产养护，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 </w:t>
      </w:r>
      <w:r>
        <w:rPr>
          <w:rFonts w:hint="eastAsia" w:ascii="仿宋_GB2312" w:hAnsi="Times New Roman" w:eastAsia="仿宋_GB2312" w:cs="仿宋_GB2312"/>
          <w:kern w:val="2"/>
          <w:sz w:val="32"/>
          <w:szCs w:val="32"/>
          <w:lang w:val="en-US" w:eastAsia="zh-CN" w:bidi="ar"/>
        </w:rPr>
        <w:t>分析评价申报内容是否与实际相符，申报目标是否合理可行。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按照合同约定，质量标准和考核办法按照合同附件</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《攀枝花市园林绿化服务中心园林物资循环站生产养护管理标准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试行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》，附件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《攀枝花市园林绿化服务中心园林物资循环站生产养护考核办法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试行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》按月考核。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说明项目资金申报、批复及预算调整等程序的相关情况。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本项目资金申报是我局按照合同约定按月考核通过后实际产生的费用，本项目年度合同金额为</w:t>
      </w:r>
      <w:r>
        <w:rPr>
          <w:rFonts w:hint="default" w:ascii="Times New Roman" w:hAnsi="Times New Roman" w:eastAsia="仿宋_GB2312" w:cs="Times New Roman"/>
          <w:kern w:val="2"/>
          <w:sz w:val="32"/>
          <w:szCs w:val="32"/>
          <w:lang w:val="en-US" w:eastAsia="zh-CN" w:bidi="ar"/>
        </w:rPr>
        <w:t>29.8</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7.63</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2025年，市财政下达项目资金29.8万元，经费全部来自财政拨款。此项经费用全部用于</w:t>
      </w:r>
      <w:r>
        <w:rPr>
          <w:rFonts w:hint="eastAsia" w:ascii="仿宋_GB2312" w:hAnsi="Times New Roman" w:eastAsia="仿宋_GB2312" w:cs="仿宋_GB2312"/>
          <w:kern w:val="2"/>
          <w:sz w:val="32"/>
          <w:szCs w:val="32"/>
          <w:lang w:val="en-US" w:eastAsia="zh-CN" w:bidi="ar"/>
        </w:rPr>
        <w:t>攀枝花公园和园林物资循环站生产养护项目。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7.63</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按照合同约定，实际费用按月考核分期支付，根据成交供应商所完成的实际数量，按照报价折算出管护费用，通过制定的管理标准和考核办法考核后支付。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我单位项目实施首先由局绿化科、市园林绿化服务中心采用定期与不定期检查的方式进行检查，对发现的问题按考核标准进行扣分扣钱，同时反馈问题给</w:t>
      </w:r>
      <w:r>
        <w:rPr>
          <w:rFonts w:hint="eastAsia" w:ascii="仿宋" w:hAnsi="仿宋" w:eastAsia="仿宋" w:cs="仿宋"/>
          <w:color w:val="000000"/>
          <w:kern w:val="0"/>
          <w:sz w:val="28"/>
          <w:szCs w:val="28"/>
          <w:lang w:val="en-US" w:eastAsia="zh-CN" w:bidi="ar"/>
        </w:rPr>
        <w:t>四川巧洁物业服务有限公司</w:t>
      </w:r>
      <w:r>
        <w:rPr>
          <w:rFonts w:hint="eastAsia" w:ascii="仿宋_GB2312" w:hAnsi="Times New Roman" w:eastAsia="仿宋_GB2312" w:cs="仿宋_GB2312"/>
          <w:kern w:val="0"/>
          <w:sz w:val="32"/>
          <w:szCs w:val="32"/>
          <w:lang w:val="en-US" w:eastAsia="zh-CN" w:bidi="ar"/>
        </w:rPr>
        <w:t>（合同乙方）处理。每月底按检查结果形成考核结果，由三方签字确认后，乙方提供正规发票，经局长办公会或党组会审议通过后报市财政局，财政预算批复后，由各财政直接支付给</w:t>
      </w:r>
      <w:r>
        <w:rPr>
          <w:rFonts w:hint="eastAsia" w:ascii="仿宋" w:hAnsi="仿宋" w:eastAsia="仿宋" w:cs="仿宋"/>
          <w:color w:val="000000"/>
          <w:kern w:val="0"/>
          <w:sz w:val="28"/>
          <w:szCs w:val="28"/>
          <w:lang w:val="en-US" w:eastAsia="zh-CN" w:bidi="ar"/>
        </w:rPr>
        <w:t>四川巧洁物业服务有限公司</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我单位管理制度健全，为落实项目合同的实施，由局绿化科负责日常的检查和考核，并严格执行各项财务管理制度，项目资金账务处理及时，会计核算规范。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我单位采取多种管理手段。严格审核合同制定，为确保合同顺利高效实施，严格按照</w:t>
      </w:r>
      <w:r>
        <w:rPr>
          <w:rFonts w:hint="eastAsia" w:ascii="仿宋_GB2312" w:hAnsi="Times New Roman" w:eastAsia="仿宋_GB2312" w:cs="仿宋_GB2312"/>
          <w:kern w:val="2"/>
          <w:sz w:val="32"/>
          <w:szCs w:val="32"/>
          <w:lang w:val="en-US" w:eastAsia="zh-CN" w:bidi="ar"/>
        </w:rPr>
        <w:t>《攀枝花市园林绿化服务中心园林物资循环站生产养护管理标准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试行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》《攀枝花市园林绿化服务中心园林物资循环站生产养护考核办法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试行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》进行考核，采取定期与不定期检查，日常督促的方式对发现的问题及时反馈给</w:t>
      </w:r>
      <w:r>
        <w:rPr>
          <w:rFonts w:hint="eastAsia" w:ascii="仿宋" w:hAnsi="仿宋" w:eastAsia="仿宋" w:cs="仿宋"/>
          <w:color w:val="000000"/>
          <w:kern w:val="0"/>
          <w:sz w:val="28"/>
          <w:szCs w:val="28"/>
          <w:lang w:val="en-US" w:eastAsia="zh-CN" w:bidi="ar"/>
        </w:rPr>
        <w:t>四川巧洁物业服务有限公司</w:t>
      </w:r>
      <w:r>
        <w:rPr>
          <w:rFonts w:hint="eastAsia" w:ascii="仿宋_GB2312" w:hAnsi="Times New Roman" w:eastAsia="仿宋_GB2312" w:cs="仿宋_GB2312"/>
          <w:kern w:val="0"/>
          <w:sz w:val="32"/>
          <w:szCs w:val="32"/>
          <w:lang w:val="en-US" w:eastAsia="zh-CN" w:bidi="ar"/>
        </w:rPr>
        <w:t>处理。同时，充分发挥纪检部门监督作用，对项目实施全过程进行廉政监督，防止出现违规违纪行为。通过这些监管手段和程序，有效保障项目顺利实施，确保合同项目质量和资金安全。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在项目完成数量方面，严格督促</w:t>
      </w:r>
      <w:r>
        <w:rPr>
          <w:rFonts w:hint="eastAsia" w:ascii="仿宋" w:hAnsi="仿宋" w:eastAsia="仿宋" w:cs="仿宋"/>
          <w:color w:val="000000"/>
          <w:kern w:val="0"/>
          <w:sz w:val="28"/>
          <w:szCs w:val="28"/>
          <w:lang w:val="en-US" w:eastAsia="zh-CN" w:bidi="ar"/>
        </w:rPr>
        <w:t>四川巧洁物业服务有限公司</w:t>
      </w:r>
      <w:r>
        <w:rPr>
          <w:rFonts w:hint="eastAsia" w:ascii="仿宋_GB2312" w:hAnsi="Times New Roman" w:eastAsia="仿宋_GB2312" w:cs="仿宋_GB2312"/>
          <w:kern w:val="0"/>
          <w:sz w:val="32"/>
          <w:szCs w:val="32"/>
          <w:lang w:val="en-US" w:eastAsia="zh-CN" w:bidi="ar"/>
        </w:rPr>
        <w:t>完成园林物质循环站生产养护工作，达到预期目标；在质量方面，按月完成检查验收，符合相关质量标准；在时效方面，按照项目实施进度计划，各阶段工作均按时完成；在成本控制方面，已使用资金7.63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生态效益及可持续影响方面。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在项目实施过程中，虽然采取了多种监管手段，但在一些细节方面，如对日常检查次数偏少，园林专业技术能力不足。主要原因是相关监管人员数量有限，且单位监管人员专业知识不足。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建立健全项目监管机制，加强对项目实施全过程的监督检查次数，学习园林专业知识，确保项目质量和安全。</w:t>
      </w:r>
    </w:p>
    <w:p>
      <w:pPr>
        <w:pStyle w:val="15"/>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eastAsia="仿宋_GB2312" w:cs="仿宋_GB2312"/>
          <w:kern w:val="2"/>
          <w:sz w:val="32"/>
          <w:szCs w:val="32"/>
        </w:rPr>
      </w:pPr>
      <w:r>
        <w:rPr>
          <w:rFonts w:hint="eastAsia" w:ascii="仿宋_GB2312" w:hAnsi="Courier New" w:eastAsia="仿宋_GB2312" w:cs="仿宋_GB2312"/>
          <w:kern w:val="2"/>
          <w:sz w:val="32"/>
          <w:szCs w:val="32"/>
          <w:lang w:val="en-US" w:eastAsia="zh-CN" w:bidi="ar"/>
        </w:rPr>
        <w:t>（苏铁中路等主干道绿化养护）</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市城管执法局作为本项目采购主体，负责苏铁中路等主干道绿化养护项目的采购和实施，局属单位攀枝花市园林绿化服务中心履行日常管理的业主责任，按合同约定在项目执行中开展技术指导、计划下达、监督考核、履约验收、协助办理费用支付等过程管理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根据《中华人民共和国政府采购法》规定立项、申报，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资金支持条件根据《苏铁中路等主干道绿化养护项目》中明确“苏铁中路等主干道绿化养护，费用</w:t>
      </w:r>
      <w:r>
        <w:rPr>
          <w:rFonts w:hint="default" w:ascii="Times New Roman" w:hAnsi="Times New Roman" w:eastAsia="仿宋_GB2312" w:cs="Times New Roman"/>
          <w:kern w:val="2"/>
          <w:sz w:val="32"/>
          <w:szCs w:val="32"/>
          <w:lang w:val="en-US" w:eastAsia="zh-CN" w:bidi="ar"/>
        </w:rPr>
        <w:t>48.398619</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资金支持范围苏铁中路、格萨拉大道、钢城大道西段、木棉路、弄弄坪东路、弄弄坪中路、弄弄坪西路沿线，道路及其附属绿化共计</w:t>
      </w:r>
      <w:r>
        <w:rPr>
          <w:rFonts w:hint="default" w:ascii="Times New Roman" w:hAnsi="Times New Roman" w:eastAsia="仿宋_GB2312" w:cs="Times New Roman"/>
          <w:kern w:val="2"/>
          <w:sz w:val="32"/>
          <w:szCs w:val="32"/>
          <w:lang w:val="en-US" w:eastAsia="zh-CN" w:bidi="ar"/>
        </w:rPr>
        <w:t>72737.24</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2781</w:t>
      </w:r>
      <w:r>
        <w:rPr>
          <w:rFonts w:hint="eastAsia" w:ascii="仿宋_GB2312" w:hAnsi="Times New Roman" w:eastAsia="仿宋_GB2312" w:cs="仿宋_GB2312"/>
          <w:kern w:val="2"/>
          <w:sz w:val="32"/>
          <w:szCs w:val="32"/>
          <w:lang w:val="en-US" w:eastAsia="zh-CN" w:bidi="ar"/>
        </w:rPr>
        <w:t>株、花箱共计</w:t>
      </w:r>
      <w:r>
        <w:rPr>
          <w:rFonts w:hint="default" w:ascii="Times New Roman" w:hAnsi="Times New Roman" w:eastAsia="仿宋_GB2312" w:cs="Times New Roman"/>
          <w:kern w:val="2"/>
          <w:sz w:val="32"/>
          <w:szCs w:val="32"/>
          <w:lang w:val="en-US" w:eastAsia="zh-CN" w:bidi="ar"/>
        </w:rPr>
        <w:t>94</w:t>
      </w:r>
      <w:r>
        <w:rPr>
          <w:rFonts w:hint="eastAsia" w:ascii="仿宋_GB2312" w:hAnsi="Times New Roman" w:eastAsia="仿宋_GB2312" w:cs="仿宋_GB2312"/>
          <w:kern w:val="2"/>
          <w:sz w:val="32"/>
          <w:szCs w:val="32"/>
          <w:lang w:val="en-US" w:eastAsia="zh-CN" w:bidi="ar"/>
        </w:rPr>
        <w:t>个。</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资金支持方式采用财政拨款，实际费用按月考核分期支付，根据成交供应商所完成的实际数量，按照报价折算出管护费用，通过制定的管理标准和考核办法考核后，在收到成交供应商出具的正规发票后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个工作日内采购人报财政审批同意后以转账的方式拨付承包费用。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4. </w:t>
      </w: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实际费用按月考核支付，根据成交供应商所完成的实际数量，按照报价折算出管护费用，通过制定的管理标准和考核办法考核后支付。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苏铁中路、格萨拉大道、钢城大道西段、木棉路、弄弄坪东路、弄弄坪中路、弄弄坪西路沿线，道路及其附属绿化共计</w:t>
      </w:r>
      <w:r>
        <w:rPr>
          <w:rFonts w:hint="default" w:ascii="Times New Roman" w:hAnsi="Times New Roman" w:eastAsia="仿宋_GB2312" w:cs="Times New Roman"/>
          <w:kern w:val="2"/>
          <w:sz w:val="32"/>
          <w:szCs w:val="32"/>
          <w:lang w:val="en-US" w:eastAsia="zh-CN" w:bidi="ar"/>
        </w:rPr>
        <w:t>72737.24</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2781</w:t>
      </w:r>
      <w:r>
        <w:rPr>
          <w:rFonts w:hint="eastAsia" w:ascii="仿宋_GB2312" w:hAnsi="Times New Roman" w:eastAsia="仿宋_GB2312" w:cs="仿宋_GB2312"/>
          <w:kern w:val="2"/>
          <w:sz w:val="32"/>
          <w:szCs w:val="32"/>
          <w:lang w:val="en-US" w:eastAsia="zh-CN" w:bidi="ar"/>
        </w:rPr>
        <w:t>株、花箱共计</w:t>
      </w:r>
      <w:r>
        <w:rPr>
          <w:rFonts w:hint="default" w:ascii="Times New Roman" w:hAnsi="Times New Roman" w:eastAsia="仿宋_GB2312" w:cs="Times New Roman"/>
          <w:kern w:val="2"/>
          <w:sz w:val="32"/>
          <w:szCs w:val="32"/>
          <w:lang w:val="en-US" w:eastAsia="zh-CN" w:bidi="ar"/>
        </w:rPr>
        <w:t>94</w:t>
      </w:r>
      <w:r>
        <w:rPr>
          <w:rFonts w:hint="eastAsia" w:ascii="仿宋_GB2312" w:hAnsi="Times New Roman" w:eastAsia="仿宋_GB2312" w:cs="仿宋_GB2312"/>
          <w:kern w:val="2"/>
          <w:sz w:val="32"/>
          <w:szCs w:val="32"/>
          <w:lang w:val="en-US" w:eastAsia="zh-CN" w:bidi="ar"/>
        </w:rPr>
        <w:t>个。</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项目应实现的具体绩效目标，包括目标的量化、细化情况以及项目实施进度计划等。</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苏铁中路等主干道绿化养护，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 </w:t>
      </w:r>
      <w:r>
        <w:rPr>
          <w:rFonts w:hint="eastAsia" w:ascii="仿宋_GB2312" w:hAnsi="Times New Roman" w:eastAsia="仿宋_GB2312" w:cs="仿宋_GB2312"/>
          <w:kern w:val="2"/>
          <w:sz w:val="32"/>
          <w:szCs w:val="32"/>
          <w:lang w:val="en-US" w:eastAsia="zh-CN" w:bidi="ar"/>
        </w:rPr>
        <w:t>分析评价申报内容是否与实际相符，申报目标是否合理可行。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按照合同约定，质量标准和考核办法按照合同附件《攀枝花市园林绿化养护质量标准》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要求执行，按月考核。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本项目资金申报是我局按照合同约定按月考核通过后实际产生的费用，本项目年度合同金额为</w:t>
      </w:r>
      <w:r>
        <w:rPr>
          <w:rFonts w:hint="default" w:ascii="Times New Roman" w:hAnsi="Times New Roman" w:eastAsia="仿宋_GB2312" w:cs="Times New Roman"/>
          <w:kern w:val="2"/>
          <w:sz w:val="32"/>
          <w:szCs w:val="32"/>
          <w:lang w:val="en-US" w:eastAsia="zh-CN" w:bidi="ar"/>
        </w:rPr>
        <w:t>48.398619</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2025年，市财政下达项目资金25万元，经费全部来自财政拨款。此项经费用全部用于</w:t>
      </w:r>
      <w:r>
        <w:rPr>
          <w:rFonts w:hint="eastAsia" w:ascii="仿宋_GB2312" w:hAnsi="Times New Roman" w:eastAsia="仿宋_GB2312" w:cs="仿宋_GB2312"/>
          <w:kern w:val="2"/>
          <w:sz w:val="32"/>
          <w:szCs w:val="32"/>
          <w:lang w:val="en-US" w:eastAsia="zh-CN" w:bidi="ar"/>
        </w:rPr>
        <w:t>苏铁中路等主干道绿化养护项目。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按照合同约定，实际费用按月考核分期支付，根据成交供应商所完成的实际数量，按照报价折算出管护费用，通过制定的管理标准和考核办法考核后支付。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绿化科、市园林绿化服务中心采用定期与不定期检查的方式进行检查，对发现的问题按考核标准进行扣分扣钱，同时反馈问题给攀枝花市精璨清洁有限公司（合同乙方）处理。每月底按检查结果形成考核结果，由三方签字确认后，乙方提供正规发票，经局长办公会或党组会审议通过后报市财政局，财政预算批复后，由各财政直接支付给攀枝花市精璨清洁有限公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我单位管理制度健全，为落实项目合同的实施，由局绿化科负责日常的检查和考核，并严格执行各项财务管理制度，项目资金账务处理及时，会计核算规范。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我单位采取多种管理手段。严格审核合同制定，为确保合同顺利高效实施，严格按照</w:t>
      </w:r>
      <w:r>
        <w:rPr>
          <w:rFonts w:hint="eastAsia" w:ascii="仿宋_GB2312" w:hAnsi="Times New Roman" w:eastAsia="仿宋_GB2312" w:cs="仿宋_GB2312"/>
          <w:kern w:val="2"/>
          <w:sz w:val="32"/>
          <w:szCs w:val="32"/>
          <w:lang w:val="en-US" w:eastAsia="zh-CN" w:bidi="ar"/>
        </w:rPr>
        <w:t>《攀枝花市园林绿化养护质量标准》（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）《园林绿化管养检查考核扣款标准》进行考核，采取定期与不定期检查，日常督促的方式对发现的问题及时反馈给</w:t>
      </w:r>
      <w:r>
        <w:rPr>
          <w:rFonts w:hint="eastAsia" w:ascii="仿宋_GB2312" w:hAnsi="Times New Roman" w:eastAsia="仿宋_GB2312" w:cs="仿宋_GB2312"/>
          <w:kern w:val="0"/>
          <w:sz w:val="32"/>
          <w:szCs w:val="32"/>
          <w:lang w:val="en-US" w:eastAsia="zh-CN" w:bidi="ar"/>
        </w:rPr>
        <w:t>攀枝花市精璨清洁有限公司处理。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在项目完成数量方面，严格督促攀枝花市精璨清洁有限公司完成</w:t>
      </w:r>
      <w:r>
        <w:rPr>
          <w:rFonts w:hint="eastAsia" w:ascii="仿宋_GB2312" w:hAnsi="Times New Roman" w:eastAsia="仿宋_GB2312" w:cs="仿宋_GB2312"/>
          <w:kern w:val="2"/>
          <w:sz w:val="32"/>
          <w:szCs w:val="32"/>
          <w:lang w:val="en-US" w:eastAsia="zh-CN" w:bidi="ar"/>
        </w:rPr>
        <w:t>苏铁中路等主干道绿化养护</w:t>
      </w:r>
      <w:r>
        <w:rPr>
          <w:rFonts w:hint="eastAsia" w:ascii="仿宋_GB2312" w:hAnsi="Times New Roman" w:eastAsia="仿宋_GB2312" w:cs="仿宋_GB2312"/>
          <w:kern w:val="0"/>
          <w:sz w:val="32"/>
          <w:szCs w:val="32"/>
          <w:lang w:val="en-US" w:eastAsia="zh-CN" w:bidi="ar"/>
        </w:rPr>
        <w:t>工作，达到预期目标；在质量方面，按月完成检查验收，符合相关质量标准；在时效方面，按照项目实施进度计划，各阶段工作均按时完成；在成本控制方面，已使用资金25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生态效益及可持续影响方面。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在项目实施过程中，虽然采取了多种监管手段，但在一些细节方面，如对日常检查次数偏少，园林专业技术能力不足。主要原因是相关监管人员数量有限，且单位监管人员专业知识不足。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建立健全项目监管机制，加强对项目实施全过程的监督检查次数，学习园林专业知识，确保项目质量和安全。</w:t>
      </w:r>
    </w:p>
    <w:p>
      <w:pPr>
        <w:widowControl/>
        <w:jc w:val="center"/>
        <w:rPr>
          <w:rFonts w:hint="eastAsia" w:ascii="Times New Roman" w:hAnsi="Times New Roman" w:eastAsia="黑体"/>
          <w:color w:val="auto"/>
          <w:sz w:val="44"/>
          <w:szCs w:val="44"/>
          <w:highlight w:val="none"/>
        </w:rPr>
      </w:pPr>
    </w:p>
    <w:p>
      <w:pPr>
        <w:pStyle w:val="2"/>
        <w:rPr>
          <w:rFonts w:hint="eastAsia"/>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方正小标宋_GBK" w:hAnsi="宋体" w:eastAsia="方正小标宋_GBK" w:cs="黑体"/>
          <w:kern w:val="2"/>
          <w:sz w:val="36"/>
          <w:szCs w:val="36"/>
        </w:rPr>
      </w:pPr>
      <w:r>
        <w:rPr>
          <w:rFonts w:hint="eastAsia" w:ascii="仿宋_GB2312" w:hAnsi="Courier New" w:eastAsia="仿宋_GB2312" w:cs="仿宋_GB2312"/>
          <w:kern w:val="2"/>
          <w:sz w:val="32"/>
          <w:szCs w:val="32"/>
          <w:lang w:val="en-US" w:eastAsia="zh-CN" w:bidi="ar"/>
        </w:rPr>
        <w:t>（攀枝花公园和竹湖园卫生保洁项目费用）</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攀枝花竹湖园公园卫生保洁项目的采购和实施，局属单位攀枝花市园林绿化服务中心履行日常管理的业主责任，按合同约定在项目执行中开展技术指导、计划下达、监督考核、履约验收、协助办理费用支付等过程管理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根据《中华人民共和国政府采购法》规定立项、申报，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资金支持条件根据《攀枝花公园和竹湖园卫生保洁项目》中明确“攀枝花公园和竹湖园卫生保洁，费用</w:t>
      </w:r>
      <w:r>
        <w:rPr>
          <w:rFonts w:hint="default" w:ascii="Times New Roman" w:hAnsi="Times New Roman" w:eastAsia="仿宋_GB2312" w:cs="Times New Roman"/>
          <w:kern w:val="2"/>
          <w:sz w:val="32"/>
          <w:szCs w:val="32"/>
          <w:lang w:val="en-US" w:eastAsia="zh-CN" w:bidi="ar"/>
        </w:rPr>
        <w:t>91.3986</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资金支持范围竹湖园</w:t>
      </w:r>
      <w:r>
        <w:rPr>
          <w:rFonts w:hint="default" w:ascii="Times New Roman" w:hAnsi="Times New Roman" w:eastAsia="仿宋_GB2312" w:cs="Times New Roman"/>
          <w:kern w:val="2"/>
          <w:sz w:val="32"/>
          <w:szCs w:val="32"/>
          <w:lang w:val="en-US" w:eastAsia="zh-CN" w:bidi="ar"/>
        </w:rPr>
        <w:t>56000</w:t>
      </w:r>
      <w:r>
        <w:rPr>
          <w:rFonts w:hint="eastAsia" w:ascii="仿宋_GB2312" w:hAnsi="Times New Roman" w:eastAsia="仿宋_GB2312" w:cs="仿宋_GB2312"/>
          <w:kern w:val="2"/>
          <w:sz w:val="32"/>
          <w:szCs w:val="32"/>
          <w:lang w:val="en-US" w:eastAsia="zh-CN" w:bidi="ar"/>
        </w:rPr>
        <w:t>平方米园区清扫保洁（含后山小道、林下边坡可燃物清理），</w:t>
      </w:r>
      <w:r>
        <w:rPr>
          <w:rFonts w:hint="default" w:ascii="Times New Roman" w:hAnsi="Times New Roman" w:eastAsia="仿宋_GB2312" w:cs="Times New Roman"/>
          <w:kern w:val="2"/>
          <w:sz w:val="32"/>
          <w:szCs w:val="32"/>
          <w:lang w:val="en-US" w:eastAsia="zh-CN" w:bidi="ar"/>
        </w:rPr>
        <w:t>1500</w:t>
      </w:r>
      <w:r>
        <w:rPr>
          <w:rFonts w:hint="eastAsia" w:ascii="仿宋_GB2312" w:hAnsi="Times New Roman" w:eastAsia="仿宋_GB2312" w:cs="仿宋_GB2312"/>
          <w:kern w:val="2"/>
          <w:sz w:val="32"/>
          <w:szCs w:val="32"/>
          <w:lang w:val="en-US" w:eastAsia="zh-CN" w:bidi="ar"/>
        </w:rPr>
        <w:t>平方米防火线铲除，</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座公厕日常管理（清扫保洁及设施维修维护）；公园</w:t>
      </w:r>
      <w:r>
        <w:rPr>
          <w:rFonts w:hint="default" w:ascii="Times New Roman" w:hAnsi="Times New Roman" w:eastAsia="仿宋_GB2312" w:cs="Times New Roman"/>
          <w:kern w:val="2"/>
          <w:sz w:val="32"/>
          <w:szCs w:val="32"/>
          <w:lang w:val="en-US" w:eastAsia="zh-CN" w:bidi="ar"/>
        </w:rPr>
        <w:t>101562</w:t>
      </w:r>
      <w:r>
        <w:rPr>
          <w:rFonts w:hint="eastAsia" w:ascii="仿宋_GB2312" w:hAnsi="Times New Roman" w:eastAsia="仿宋_GB2312" w:cs="仿宋_GB2312"/>
          <w:kern w:val="2"/>
          <w:sz w:val="32"/>
          <w:szCs w:val="32"/>
          <w:lang w:val="en-US" w:eastAsia="zh-CN" w:bidi="ar"/>
        </w:rPr>
        <w:t>平方米园区清扫保洁，</w:t>
      </w:r>
      <w:r>
        <w:rPr>
          <w:rFonts w:hint="default" w:ascii="Times New Roman" w:hAnsi="Times New Roman" w:eastAsia="仿宋_GB2312" w:cs="Times New Roman"/>
          <w:kern w:val="2"/>
          <w:sz w:val="32"/>
          <w:szCs w:val="32"/>
          <w:lang w:val="en-US" w:eastAsia="zh-CN" w:bidi="ar"/>
        </w:rPr>
        <w:t>60000</w:t>
      </w:r>
      <w:r>
        <w:rPr>
          <w:rFonts w:hint="eastAsia" w:ascii="仿宋_GB2312" w:hAnsi="Times New Roman" w:eastAsia="仿宋_GB2312" w:cs="仿宋_GB2312"/>
          <w:kern w:val="2"/>
          <w:sz w:val="32"/>
          <w:szCs w:val="32"/>
          <w:lang w:val="en-US" w:eastAsia="zh-CN" w:bidi="ar"/>
        </w:rPr>
        <w:t>防火线铲除、边坡林地清理，</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座公厕日常管理（清扫保洁及设施维修维护）。</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资金支持方式采用财政拨款，实际费用按月考核分期支付，根据成交供应商所完成的实际数量，按照报价折算出管护费用，通过制定的管理标准和考核办法考核后，在收到成交供应商出具的正规发票后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个工作日内采购人报财政审批同意后以转账的方式拨付承包费用。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4. </w:t>
      </w: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实际费用按月考核支付，根据成交供应商所完成的实际数量，按照报价折算出管护费用，通过制定的管理标准和考核办法考核后支付。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竹湖园</w:t>
      </w:r>
      <w:r>
        <w:rPr>
          <w:rFonts w:hint="default" w:ascii="Times New Roman" w:hAnsi="Times New Roman" w:eastAsia="仿宋_GB2312" w:cs="Times New Roman"/>
          <w:kern w:val="2"/>
          <w:sz w:val="32"/>
          <w:szCs w:val="32"/>
          <w:lang w:val="en-US" w:eastAsia="zh-CN" w:bidi="ar"/>
        </w:rPr>
        <w:t>56000</w:t>
      </w:r>
      <w:r>
        <w:rPr>
          <w:rFonts w:hint="eastAsia" w:ascii="仿宋_GB2312" w:hAnsi="Times New Roman" w:eastAsia="仿宋_GB2312" w:cs="仿宋_GB2312"/>
          <w:kern w:val="2"/>
          <w:sz w:val="32"/>
          <w:szCs w:val="32"/>
          <w:lang w:val="en-US" w:eastAsia="zh-CN" w:bidi="ar"/>
        </w:rPr>
        <w:t>平方米园区清扫保洁（含后山小道、林下边坡可燃物清理），</w:t>
      </w:r>
      <w:r>
        <w:rPr>
          <w:rFonts w:hint="default" w:ascii="Times New Roman" w:hAnsi="Times New Roman" w:eastAsia="仿宋_GB2312" w:cs="Times New Roman"/>
          <w:kern w:val="2"/>
          <w:sz w:val="32"/>
          <w:szCs w:val="32"/>
          <w:lang w:val="en-US" w:eastAsia="zh-CN" w:bidi="ar"/>
        </w:rPr>
        <w:t>1500</w:t>
      </w:r>
      <w:r>
        <w:rPr>
          <w:rFonts w:hint="eastAsia" w:ascii="仿宋_GB2312" w:hAnsi="Times New Roman" w:eastAsia="仿宋_GB2312" w:cs="仿宋_GB2312"/>
          <w:kern w:val="2"/>
          <w:sz w:val="32"/>
          <w:szCs w:val="32"/>
          <w:lang w:val="en-US" w:eastAsia="zh-CN" w:bidi="ar"/>
        </w:rPr>
        <w:t>平方米防火线铲除，</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座公厕日常管理（清扫保洁及设施维修维护）；公园</w:t>
      </w:r>
      <w:r>
        <w:rPr>
          <w:rFonts w:hint="default" w:ascii="Times New Roman" w:hAnsi="Times New Roman" w:eastAsia="仿宋_GB2312" w:cs="Times New Roman"/>
          <w:kern w:val="2"/>
          <w:sz w:val="32"/>
          <w:szCs w:val="32"/>
          <w:lang w:val="en-US" w:eastAsia="zh-CN" w:bidi="ar"/>
        </w:rPr>
        <w:t>101562</w:t>
      </w:r>
      <w:r>
        <w:rPr>
          <w:rFonts w:hint="eastAsia" w:ascii="仿宋_GB2312" w:hAnsi="Times New Roman" w:eastAsia="仿宋_GB2312" w:cs="仿宋_GB2312"/>
          <w:kern w:val="2"/>
          <w:sz w:val="32"/>
          <w:szCs w:val="32"/>
          <w:lang w:val="en-US" w:eastAsia="zh-CN" w:bidi="ar"/>
        </w:rPr>
        <w:t>平方米园区清扫保洁，</w:t>
      </w:r>
      <w:r>
        <w:rPr>
          <w:rFonts w:hint="default" w:ascii="Times New Roman" w:hAnsi="Times New Roman" w:eastAsia="仿宋_GB2312" w:cs="Times New Roman"/>
          <w:kern w:val="2"/>
          <w:sz w:val="32"/>
          <w:szCs w:val="32"/>
          <w:lang w:val="en-US" w:eastAsia="zh-CN" w:bidi="ar"/>
        </w:rPr>
        <w:t>60000</w:t>
      </w:r>
      <w:r>
        <w:rPr>
          <w:rFonts w:hint="eastAsia" w:ascii="仿宋_GB2312" w:hAnsi="Times New Roman" w:eastAsia="仿宋_GB2312" w:cs="仿宋_GB2312"/>
          <w:kern w:val="2"/>
          <w:sz w:val="32"/>
          <w:szCs w:val="32"/>
          <w:lang w:val="en-US" w:eastAsia="zh-CN" w:bidi="ar"/>
        </w:rPr>
        <w:t>防火线铲除、边坡林地清理，</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座公厕日常管理（清扫保洁及设施维修维护）。</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项目应实现的具体绩效目标。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攀枝花公园和攀枝花竹湖园公园卫生保洁，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 </w:t>
      </w: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按照合同约定，质量标准和考核办法按照合同附件</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《攀枝花市园林绿化服务中心卫生清扫管护质量标准》，附件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《攀枝花市园林绿化服务中心卫生清扫保洁管护质量考核办法》附件</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《攀枝花市园林绿化服务中心公厕管理质量标准及考核办法》按月考核。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本项目资金申报是我局按照合同约定按月考核通过后实际产生的费用，本项目年度合同金额为</w:t>
      </w:r>
      <w:r>
        <w:rPr>
          <w:rFonts w:hint="default" w:ascii="Times New Roman" w:hAnsi="Times New Roman" w:eastAsia="仿宋_GB2312" w:cs="Times New Roman"/>
          <w:kern w:val="2"/>
          <w:sz w:val="32"/>
          <w:szCs w:val="32"/>
          <w:lang w:val="en-US" w:eastAsia="zh-CN" w:bidi="ar"/>
        </w:rPr>
        <w:t>91.3986</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30.49</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2025年，市财政下达项目资金30.49万元，经费全部来自财政拨款。此项经费用全部用于</w:t>
      </w:r>
      <w:r>
        <w:rPr>
          <w:rFonts w:hint="eastAsia" w:ascii="仿宋_GB2312" w:hAnsi="Times New Roman" w:eastAsia="仿宋_GB2312" w:cs="仿宋_GB2312"/>
          <w:kern w:val="2"/>
          <w:sz w:val="32"/>
          <w:szCs w:val="32"/>
          <w:lang w:val="en-US" w:eastAsia="zh-CN" w:bidi="ar"/>
        </w:rPr>
        <w:t>攀枝花公园和攀枝花竹湖园公园卫生保洁项目。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30.49</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按照合同约定，实际费用按月考核分期支付，根据成交供应商所完成的实际数量，按照报价折算出管护费用，通过制定的管理标准和考核办法考核后支付。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绿化科、市园林绿化服务中心采用定期与不定期检查的方式进行检查，对发现的问题按考核标准进行扣分扣钱，同时反馈问题给攀枝花市精璨清洁有限公司（合同乙方）处理。每月底按检查结果形成考核结果，由三方签字确认后，乙方提供正规发票，经局长办公会或党组会审议通过后报市财政局，财政预算批复后，由各财政直接支付给攀枝花市精璨清洁有限公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我单位管理制度健全，为落实项目合同的实施，由局绿化科负责日常的检查和考核，并严格执行各项财务管理制度，项目资金账务处理及时，会计核算规范。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我单位采取多种管理手段。严格审核合同制定，为确保合同顺利高效实施，严格按照</w:t>
      </w:r>
      <w:r>
        <w:rPr>
          <w:rFonts w:hint="eastAsia" w:ascii="仿宋_GB2312" w:hAnsi="Times New Roman" w:eastAsia="仿宋_GB2312" w:cs="仿宋_GB2312"/>
          <w:kern w:val="2"/>
          <w:sz w:val="32"/>
          <w:szCs w:val="32"/>
          <w:lang w:val="en-US" w:eastAsia="zh-CN" w:bidi="ar"/>
        </w:rPr>
        <w:t>《攀枝花市园林绿化服务中心卫生清扫管护质量标准》、《攀枝花市园林绿化服务中心卫生清扫保洁管护质量考核办法》、《攀枝花市园林绿化服务中心公厕管理质量标准及考核办法》进行考核，采取定期与不定期检查，日常督促的方式对发现的问题及时反馈给</w:t>
      </w:r>
      <w:r>
        <w:rPr>
          <w:rFonts w:hint="eastAsia" w:ascii="仿宋_GB2312" w:hAnsi="Times New Roman" w:eastAsia="仿宋_GB2312" w:cs="仿宋_GB2312"/>
          <w:kern w:val="0"/>
          <w:sz w:val="32"/>
          <w:szCs w:val="32"/>
          <w:lang w:val="en-US" w:eastAsia="zh-CN" w:bidi="ar"/>
        </w:rPr>
        <w:t>攀枝花市精璨清洁有限公司处理。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在项目完成数量方面，严格督促攀枝花市精璨清洁有限公司完成攀枝花公园和竹湖园的卫生保洁工作，达到预期目标；在质量方面，按月完成检查验收，符合相关质量标准；在时效方面，按照项目实施进度计划，各阶段工作均按时完成；在成本控制方面，已使用资金30.49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生态效益及可持续影响方面。环境卫生标准提升度明显，进一步为广大居民营造了干净、舒适的环境，促进了社会和谐；改善城市绿化生态环境，提升城市品位；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在项目实施过程中，虽然采取了多种监管手段，但在一些细节方面，如对日常检查次数偏少，园林专业技术能力不足。主要原因是相关监管人员数量有限，且单位监管人员专业知识不足。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建立健全项目监管机制，加强对项目实施全过程的监督检查次数，学习园林专业知识，确保项目质量和安全。</w:t>
      </w:r>
    </w:p>
    <w:p>
      <w:pPr>
        <w:widowControl/>
        <w:jc w:val="cente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eastAsia="仿宋_GB2312" w:cs="仿宋_GB2312"/>
          <w:kern w:val="2"/>
          <w:sz w:val="32"/>
          <w:szCs w:val="32"/>
        </w:rPr>
      </w:pPr>
      <w:r>
        <w:rPr>
          <w:rFonts w:hint="eastAsia" w:ascii="仿宋_GB2312" w:hAnsi="Courier New" w:eastAsia="仿宋_GB2312" w:cs="仿宋_GB2312"/>
          <w:kern w:val="2"/>
          <w:sz w:val="32"/>
          <w:szCs w:val="32"/>
          <w:lang w:val="en-US" w:eastAsia="zh-CN" w:bidi="ar"/>
        </w:rPr>
        <w:t>（金沙江大道东段等12条主干道绿化养护）</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．市城管执法局作为本项目采购主体，负责金沙江大道东段等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项目的采购和实施。局属单位攀枝花市园林绿化服务中心履行日常管理的业主责任，按合同约定在项目执行中开展技术指导、计划下达、监督考核、履约验收、协助办理费用支付等过程管理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项目立项、资金申报的依据。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根据《中华人民共和国政府采购法》、《中华人民共和国民法典》、《攀枝花市城市绿化条例》及其他有关法律、法规规定立项、申报。</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．资金管理办法制定情况，资金支持具体项目的条件、范围与支持方式概况。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资金支持条件根据《金沙江大道东段等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条主干道绿化养护合同》中明确“金沙江大道东段等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条主干道绿化养护费用</w:t>
      </w:r>
      <w:r>
        <w:rPr>
          <w:rFonts w:hint="default" w:ascii="Times New Roman" w:hAnsi="Times New Roman" w:eastAsia="仿宋_GB2312" w:cs="Times New Roman"/>
          <w:kern w:val="2"/>
          <w:sz w:val="32"/>
          <w:szCs w:val="32"/>
          <w:lang w:val="en-US" w:eastAsia="zh-CN" w:bidi="ar"/>
        </w:rPr>
        <w:t>187.6450</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资金支持范围金沙江大道东段、金沙江大道中段、隆庆路、龙密路、新宏路、攀枝花大道东段、天津路、临江路、花城上中下街、攀枝花大道中段部分（炳草岗大桥至渡口桥）、人民街沿线。共计总面积</w:t>
      </w:r>
      <w:r>
        <w:rPr>
          <w:rFonts w:hint="default" w:ascii="Times New Roman" w:hAnsi="Times New Roman" w:eastAsia="仿宋_GB2312" w:cs="Times New Roman"/>
          <w:kern w:val="2"/>
          <w:sz w:val="32"/>
          <w:szCs w:val="32"/>
          <w:lang w:val="en-US" w:eastAsia="zh-CN" w:bidi="ar"/>
        </w:rPr>
        <w:t>330579.29</w:t>
      </w:r>
      <w:r>
        <w:rPr>
          <w:rFonts w:hint="eastAsia" w:ascii="仿宋_GB2312" w:hAnsi="Times New Roman" w:eastAsia="仿宋_GB2312" w:cs="仿宋_GB2312"/>
          <w:kern w:val="2"/>
          <w:sz w:val="32"/>
          <w:szCs w:val="32"/>
          <w:lang w:val="en-US" w:eastAsia="zh-CN" w:bidi="ar"/>
        </w:rPr>
        <w:t>平方米，其中道路绿化</w:t>
      </w:r>
      <w:r>
        <w:rPr>
          <w:rFonts w:hint="default" w:ascii="Times New Roman" w:hAnsi="Times New Roman" w:eastAsia="仿宋_GB2312" w:cs="Times New Roman"/>
          <w:kern w:val="2"/>
          <w:sz w:val="32"/>
          <w:szCs w:val="32"/>
          <w:lang w:val="en-US" w:eastAsia="zh-CN" w:bidi="ar"/>
        </w:rPr>
        <w:t>330235.33</w:t>
      </w:r>
      <w:r>
        <w:rPr>
          <w:rFonts w:hint="eastAsia" w:ascii="仿宋_GB2312" w:hAnsi="Times New Roman" w:eastAsia="仿宋_GB2312" w:cs="仿宋_GB2312"/>
          <w:kern w:val="2"/>
          <w:sz w:val="32"/>
          <w:szCs w:val="32"/>
          <w:lang w:val="en-US" w:eastAsia="zh-CN" w:bidi="ar"/>
        </w:rPr>
        <w:t>平方米，花箱共计</w:t>
      </w:r>
      <w:r>
        <w:rPr>
          <w:rFonts w:hint="default" w:ascii="Times New Roman" w:hAnsi="Times New Roman" w:eastAsia="仿宋_GB2312" w:cs="Times New Roman"/>
          <w:kern w:val="2"/>
          <w:sz w:val="32"/>
          <w:szCs w:val="32"/>
          <w:lang w:val="en-US" w:eastAsia="zh-CN" w:bidi="ar"/>
        </w:rPr>
        <w:t>387</w:t>
      </w:r>
      <w:r>
        <w:rPr>
          <w:rFonts w:hint="eastAsia" w:ascii="仿宋_GB2312" w:hAnsi="Times New Roman" w:eastAsia="仿宋_GB2312" w:cs="仿宋_GB2312"/>
          <w:kern w:val="2"/>
          <w:sz w:val="32"/>
          <w:szCs w:val="32"/>
          <w:lang w:val="en-US" w:eastAsia="zh-CN" w:bidi="ar"/>
        </w:rPr>
        <w:t>个（折合面积</w:t>
      </w:r>
      <w:r>
        <w:rPr>
          <w:rFonts w:hint="default" w:ascii="Times New Roman" w:hAnsi="Times New Roman" w:eastAsia="仿宋_GB2312" w:cs="Times New Roman"/>
          <w:kern w:val="2"/>
          <w:sz w:val="32"/>
          <w:szCs w:val="32"/>
          <w:lang w:val="en-US" w:eastAsia="zh-CN" w:bidi="ar"/>
        </w:rPr>
        <w:t>343.96</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8182</w:t>
      </w:r>
      <w:r>
        <w:rPr>
          <w:rFonts w:hint="eastAsia" w:ascii="仿宋_GB2312" w:hAnsi="Times New Roman" w:eastAsia="仿宋_GB2312" w:cs="仿宋_GB2312"/>
          <w:kern w:val="2"/>
          <w:sz w:val="32"/>
          <w:szCs w:val="32"/>
          <w:lang w:val="en-US" w:eastAsia="zh-CN" w:bidi="ar"/>
        </w:rPr>
        <w:t>株，附属公厕</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资金支持方式采用财政拨款，实际费用按月考核按月</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支付，根据成交供应商所完成的实际数量，按照报价折算出管护费用，通过制定的管理标准和考核办法考核后，在收到成交供应商出具的正规发票后</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个工作日内采购人报财政审批同意后以转账的方式拨付承包费用。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4. </w:t>
      </w:r>
      <w:r>
        <w:rPr>
          <w:rFonts w:hint="eastAsia" w:ascii="仿宋_GB2312" w:hAnsi="Times New Roman" w:eastAsia="仿宋_GB2312" w:cs="仿宋_GB2312"/>
          <w:kern w:val="2"/>
          <w:sz w:val="32"/>
          <w:szCs w:val="32"/>
          <w:lang w:val="en-US" w:eastAsia="zh-CN" w:bidi="ar"/>
        </w:rPr>
        <w:t>资金分配的原则及考虑因素。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实际费用按月考核支付，根据成交供应商所完成的实际数量，按照报价折算出管护费用，通过制定的管理标准和考核办法考核后支付。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1. </w:t>
      </w:r>
      <w:r>
        <w:rPr>
          <w:rFonts w:hint="eastAsia" w:ascii="仿宋_GB2312" w:hAnsi="Times New Roman" w:eastAsia="仿宋_GB2312" w:cs="仿宋_GB2312"/>
          <w:kern w:val="2"/>
          <w:sz w:val="32"/>
          <w:szCs w:val="32"/>
          <w:lang w:val="en-US" w:eastAsia="zh-CN" w:bidi="ar"/>
        </w:rPr>
        <w:t>项目主要内容。</w:t>
      </w:r>
      <w:r>
        <w:rPr>
          <w:rFonts w:hint="eastAsia"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金沙江大道东段、金沙江大道中段、隆庆路、龙密路、新宏路、攀枝花大道东段、天津路、临江路、花城上中下街、攀枝花大道中段部分（炳草岗大桥至渡口桥）、人民街沿线。共计总面积</w:t>
      </w:r>
      <w:r>
        <w:rPr>
          <w:rFonts w:hint="default" w:ascii="Times New Roman" w:hAnsi="Times New Roman" w:eastAsia="仿宋_GB2312" w:cs="Times New Roman"/>
          <w:kern w:val="2"/>
          <w:sz w:val="32"/>
          <w:szCs w:val="32"/>
          <w:lang w:val="en-US" w:eastAsia="zh-CN" w:bidi="ar"/>
        </w:rPr>
        <w:t>330579.29</w:t>
      </w:r>
      <w:r>
        <w:rPr>
          <w:rFonts w:hint="eastAsia" w:ascii="仿宋_GB2312" w:hAnsi="Times New Roman" w:eastAsia="仿宋_GB2312" w:cs="仿宋_GB2312"/>
          <w:kern w:val="2"/>
          <w:sz w:val="32"/>
          <w:szCs w:val="32"/>
          <w:lang w:val="en-US" w:eastAsia="zh-CN" w:bidi="ar"/>
        </w:rPr>
        <w:t>平方米，其中道路绿化</w:t>
      </w:r>
      <w:r>
        <w:rPr>
          <w:rFonts w:hint="default" w:ascii="Times New Roman" w:hAnsi="Times New Roman" w:eastAsia="仿宋_GB2312" w:cs="Times New Roman"/>
          <w:kern w:val="2"/>
          <w:sz w:val="32"/>
          <w:szCs w:val="32"/>
          <w:lang w:val="en-US" w:eastAsia="zh-CN" w:bidi="ar"/>
        </w:rPr>
        <w:t>330235.33</w:t>
      </w:r>
      <w:r>
        <w:rPr>
          <w:rFonts w:hint="eastAsia" w:ascii="仿宋_GB2312" w:hAnsi="Times New Roman" w:eastAsia="仿宋_GB2312" w:cs="仿宋_GB2312"/>
          <w:kern w:val="2"/>
          <w:sz w:val="32"/>
          <w:szCs w:val="32"/>
          <w:lang w:val="en-US" w:eastAsia="zh-CN" w:bidi="ar"/>
        </w:rPr>
        <w:t>平方米，花箱共计</w:t>
      </w:r>
      <w:r>
        <w:rPr>
          <w:rFonts w:hint="default" w:ascii="Times New Roman" w:hAnsi="Times New Roman" w:eastAsia="仿宋_GB2312" w:cs="Times New Roman"/>
          <w:kern w:val="2"/>
          <w:sz w:val="32"/>
          <w:szCs w:val="32"/>
          <w:lang w:val="en-US" w:eastAsia="zh-CN" w:bidi="ar"/>
        </w:rPr>
        <w:t>387</w:t>
      </w:r>
      <w:r>
        <w:rPr>
          <w:rFonts w:hint="eastAsia" w:ascii="仿宋_GB2312" w:hAnsi="Times New Roman" w:eastAsia="仿宋_GB2312" w:cs="仿宋_GB2312"/>
          <w:kern w:val="2"/>
          <w:sz w:val="32"/>
          <w:szCs w:val="32"/>
          <w:lang w:val="en-US" w:eastAsia="zh-CN" w:bidi="ar"/>
        </w:rPr>
        <w:t>个（折合面积</w:t>
      </w:r>
      <w:r>
        <w:rPr>
          <w:rFonts w:hint="default" w:ascii="Times New Roman" w:hAnsi="Times New Roman" w:eastAsia="仿宋_GB2312" w:cs="Times New Roman"/>
          <w:kern w:val="2"/>
          <w:sz w:val="32"/>
          <w:szCs w:val="32"/>
          <w:lang w:val="en-US" w:eastAsia="zh-CN" w:bidi="ar"/>
        </w:rPr>
        <w:t>343.96</w:t>
      </w:r>
      <w:r>
        <w:rPr>
          <w:rFonts w:hint="eastAsia" w:ascii="仿宋_GB2312" w:hAnsi="Times New Roman" w:eastAsia="仿宋_GB2312" w:cs="仿宋_GB2312"/>
          <w:kern w:val="2"/>
          <w:sz w:val="32"/>
          <w:szCs w:val="32"/>
          <w:lang w:val="en-US" w:eastAsia="zh-CN" w:bidi="ar"/>
        </w:rPr>
        <w:t>平方米）行道树共计</w:t>
      </w:r>
      <w:r>
        <w:rPr>
          <w:rFonts w:hint="default" w:ascii="Times New Roman" w:hAnsi="Times New Roman" w:eastAsia="仿宋_GB2312" w:cs="Times New Roman"/>
          <w:kern w:val="2"/>
          <w:sz w:val="32"/>
          <w:szCs w:val="32"/>
          <w:lang w:val="en-US" w:eastAsia="zh-CN" w:bidi="ar"/>
        </w:rPr>
        <w:t>8182</w:t>
      </w:r>
      <w:r>
        <w:rPr>
          <w:rFonts w:hint="eastAsia" w:ascii="仿宋_GB2312" w:hAnsi="Times New Roman" w:eastAsia="仿宋_GB2312" w:cs="仿宋_GB2312"/>
          <w:kern w:val="2"/>
          <w:sz w:val="32"/>
          <w:szCs w:val="32"/>
          <w:lang w:val="en-US" w:eastAsia="zh-CN" w:bidi="ar"/>
        </w:rPr>
        <w:t>株，附属公厕</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 </w:t>
      </w: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项目，环境卫生标准提升度明显，进一步为广大居民营造了干净、舒适的环境，促进了社会和谐，改善城市绿化生态环境，提升城市品位，城市绿化景观对降温增湿、改善光照、净化空气、降低噪音有一定生态效果，有助于改善全市生态环境。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 </w:t>
      </w:r>
      <w:r>
        <w:rPr>
          <w:rFonts w:hint="eastAsia" w:ascii="仿宋_GB2312" w:hAnsi="Times New Roman" w:eastAsia="仿宋_GB2312" w:cs="仿宋_GB2312"/>
          <w:kern w:val="2"/>
          <w:sz w:val="32"/>
          <w:szCs w:val="32"/>
          <w:lang w:val="en-US" w:eastAsia="zh-CN" w:bidi="ar"/>
        </w:rPr>
        <w:t>该项目申报内容与实际相符，申报目标合理可行。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按照合同约定，质量标准和考核办法按照合同附件《攀枝花市园林绿化养护质量标准》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要求执行，按月考核。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本项目资金申报是我局按照合同约定按月考核通过后实际产生的费用，本项目年度合同金额为</w:t>
      </w:r>
      <w:r>
        <w:rPr>
          <w:rFonts w:hint="default" w:ascii="Times New Roman" w:hAnsi="Times New Roman" w:eastAsia="仿宋_GB2312" w:cs="Times New Roman"/>
          <w:kern w:val="2"/>
          <w:sz w:val="32"/>
          <w:szCs w:val="32"/>
          <w:lang w:val="en-US" w:eastAsia="zh-CN" w:bidi="ar"/>
        </w:rPr>
        <w:t>187.6450</w:t>
      </w:r>
      <w:r>
        <w:rPr>
          <w:rFonts w:hint="eastAsia" w:ascii="仿宋_GB2312" w:hAnsi="Times New Roman" w:eastAsia="仿宋_GB2312" w:cs="仿宋_GB2312"/>
          <w:kern w:val="2"/>
          <w:sz w:val="32"/>
          <w:szCs w:val="32"/>
          <w:lang w:val="en-US" w:eastAsia="zh-CN" w:bidi="ar"/>
        </w:rPr>
        <w:t>万元，实际支付</w:t>
      </w:r>
      <w:r>
        <w:rPr>
          <w:rFonts w:hint="default" w:ascii="Times New Roman" w:hAnsi="Times New Roman" w:eastAsia="仿宋_GB2312" w:cs="Times New Roman"/>
          <w:kern w:val="2"/>
          <w:sz w:val="32"/>
          <w:szCs w:val="32"/>
          <w:lang w:val="en-US" w:eastAsia="zh-CN" w:bidi="ar"/>
        </w:rPr>
        <w:t>149.124293</w:t>
      </w:r>
      <w:r>
        <w:rPr>
          <w:rFonts w:hint="eastAsia" w:ascii="仿宋_GB2312" w:hAnsi="Times New Roman" w:eastAsia="仿宋_GB2312" w:cs="仿宋_GB2312"/>
          <w:kern w:val="2"/>
          <w:sz w:val="32"/>
          <w:szCs w:val="32"/>
          <w:lang w:val="en-US" w:eastAsia="zh-CN" w:bidi="ar"/>
        </w:rPr>
        <w:t>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（二）资金计划、到位及使用情况（可用表格形式反映）。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0"/>
          <w:sz w:val="32"/>
          <w:szCs w:val="32"/>
          <w:lang w:val="en-US" w:eastAsia="zh-CN" w:bidi="ar"/>
        </w:rPr>
        <w:t>2025年，市财政下达项目资金</w:t>
      </w:r>
      <w:r>
        <w:rPr>
          <w:rFonts w:hint="default" w:ascii="Times New Roman" w:hAnsi="Times New Roman" w:eastAsia="仿宋_GB2312" w:cs="Times New Roman"/>
          <w:kern w:val="2"/>
          <w:sz w:val="32"/>
          <w:szCs w:val="32"/>
          <w:lang w:val="en-US" w:eastAsia="zh-CN" w:bidi="ar"/>
        </w:rPr>
        <w:t>90</w:t>
      </w:r>
      <w:r>
        <w:rPr>
          <w:rFonts w:hint="eastAsia" w:ascii="仿宋_GB2312" w:hAnsi="Times New Roman" w:eastAsia="仿宋_GB2312" w:cs="仿宋_GB2312"/>
          <w:kern w:val="0"/>
          <w:sz w:val="32"/>
          <w:szCs w:val="32"/>
          <w:lang w:val="en-US" w:eastAsia="zh-CN" w:bidi="ar"/>
        </w:rPr>
        <w:t>万元，经费全部来自财政拨款。此项经费用</w:t>
      </w:r>
      <w:r>
        <w:rPr>
          <w:rFonts w:hint="eastAsia" w:ascii="仿宋_GB2312" w:hAnsi="Times New Roman" w:eastAsia="仿宋_GB2312" w:cs="仿宋_GB2312"/>
          <w:kern w:val="2"/>
          <w:sz w:val="32"/>
          <w:szCs w:val="32"/>
          <w:lang w:val="en-US" w:eastAsia="zh-CN" w:bidi="ar"/>
        </w:rPr>
        <w:t>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条主干道绿化养护项目。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eastAsia" w:ascii="仿宋_GB2312" w:hAnsi="Times New Roman" w:eastAsia="仿宋_GB2312" w:cs="仿宋_GB2312"/>
          <w:kern w:val="2"/>
          <w:sz w:val="32"/>
          <w:szCs w:val="32"/>
          <w:lang w:val="en-US" w:eastAsia="zh-CN" w:bidi="ar"/>
        </w:rPr>
        <w:t>截至</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日，实际支付</w:t>
      </w:r>
      <w:r>
        <w:rPr>
          <w:rFonts w:hint="default" w:ascii="Times New Roman" w:hAnsi="Times New Roman" w:eastAsia="仿宋_GB2312" w:cs="Times New Roman"/>
          <w:kern w:val="2"/>
          <w:sz w:val="32"/>
          <w:szCs w:val="32"/>
          <w:lang w:val="en-US" w:eastAsia="zh-CN" w:bidi="ar"/>
        </w:rPr>
        <w:t>90</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按照合同约定，实际费用按月考核分期支付，根据成交供应商所完成的实际数量，按照报价折算出管护费用，通过制定的管理标准和考核办法考核后支付。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财务管理制度健全。在项目实施过程中，严格执行财务管理制度，确保每一笔资金支出都经过严格审核。账务处理及时，能够按照财务核算要求，及时对项目资金的收支情况进行账务登记和核算。保证了会计信息的真实性、准确性和完整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0"/>
          <w:sz w:val="32"/>
          <w:szCs w:val="32"/>
          <w:lang w:val="en-US" w:eastAsia="zh-CN" w:bidi="ar"/>
        </w:rPr>
        <w:t>我单位项目实施首先由局绿化科、市园林绿化服务中心采用定期与不定期检查的方式进行检查，对发现的问题按考核标准进行扣分扣钱，同时反馈问题给湖南省一建园林建设有限公司（合同乙方）处理。每月底按检查结果形成考核结果，由三方签字确认后，乙方提供正规发票，经局长办公会或党组会审议通过后报市财政局，财政预算批复后，由财政直接支付给湖南省一建园林建设有限公司。</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（二）项目管理情况。</w:t>
      </w:r>
      <w:r>
        <w:rPr>
          <w:rFonts w:hint="eastAsia" w:ascii="仿宋_GB2312" w:hAnsi="Times New Roman" w:eastAsia="仿宋_GB2312" w:cs="仿宋_GB2312"/>
          <w:kern w:val="0"/>
          <w:sz w:val="32"/>
          <w:szCs w:val="32"/>
          <w:lang w:val="en-US" w:eastAsia="zh-CN" w:bidi="ar"/>
        </w:rPr>
        <w:t>我单位管理制度健全，为落实项目合同的实施，由局绿化科负责日常的检查和考核，并严格执行各项财务管理制度，项目资金账务处理及时，会计核算规范。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default" w:ascii="楷体_GB2312" w:hAnsi="Times New Roman" w:eastAsia="楷体_GB2312" w:cs="楷体_GB2312"/>
          <w:b/>
          <w:kern w:val="2"/>
          <w:sz w:val="32"/>
          <w:szCs w:val="32"/>
          <w:lang w:val="en-US" w:eastAsia="zh-CN" w:bidi="ar"/>
        </w:rPr>
        <w:t>（三）项目监管情况。</w:t>
      </w:r>
      <w:r>
        <w:rPr>
          <w:rFonts w:hint="eastAsia" w:ascii="仿宋_GB2312" w:hAnsi="Times New Roman" w:eastAsia="仿宋_GB2312" w:cs="仿宋_GB2312"/>
          <w:kern w:val="0"/>
          <w:sz w:val="32"/>
          <w:szCs w:val="32"/>
          <w:lang w:val="en-US" w:eastAsia="zh-CN" w:bidi="ar"/>
        </w:rPr>
        <w:t>我单位采取多种管理手段。严格审核合同制定，为确保合同顺利高效实施，严格按照</w:t>
      </w:r>
      <w:r>
        <w:rPr>
          <w:rFonts w:hint="eastAsia" w:ascii="仿宋_GB2312" w:hAnsi="Times New Roman" w:eastAsia="仿宋_GB2312" w:cs="仿宋_GB2312"/>
          <w:kern w:val="2"/>
          <w:sz w:val="32"/>
          <w:szCs w:val="32"/>
          <w:lang w:val="en-US" w:eastAsia="zh-CN" w:bidi="ar"/>
        </w:rPr>
        <w:t>《攀枝花市园林绿化养护质量标准》（</w:t>
      </w:r>
      <w:r>
        <w:rPr>
          <w:rFonts w:hint="default" w:ascii="Times New Roman" w:hAnsi="Times New Roman" w:eastAsia="仿宋_GB2312" w:cs="Times New Roman"/>
          <w:kern w:val="2"/>
          <w:sz w:val="32"/>
          <w:szCs w:val="32"/>
          <w:lang w:val="en-US" w:eastAsia="zh-CN" w:bidi="ar"/>
        </w:rPr>
        <w:t>DB5104/T53-2021D</w:t>
      </w:r>
      <w:r>
        <w:rPr>
          <w:rFonts w:hint="eastAsia" w:ascii="仿宋_GB2312" w:hAnsi="Times New Roman" w:eastAsia="仿宋_GB2312" w:cs="仿宋_GB2312"/>
          <w:kern w:val="2"/>
          <w:sz w:val="32"/>
          <w:szCs w:val="32"/>
          <w:lang w:val="en-US" w:eastAsia="zh-CN" w:bidi="ar"/>
        </w:rPr>
        <w:t>）《园林绿化管养检查考核扣款标准》进行考核，采取定期与不定期检查，日常督促的方式对发现的问题及时反馈给</w:t>
      </w:r>
      <w:r>
        <w:rPr>
          <w:rFonts w:hint="eastAsia" w:ascii="仿宋_GB2312" w:hAnsi="Times New Roman" w:eastAsia="仿宋_GB2312" w:cs="仿宋_GB2312"/>
          <w:kern w:val="0"/>
          <w:sz w:val="32"/>
          <w:szCs w:val="32"/>
          <w:lang w:val="en-US" w:eastAsia="zh-CN" w:bidi="ar"/>
        </w:rPr>
        <w:t>湖南省一建园林建设有限公司处理。同时，充分发挥纪检部门监督作用，对项目实施全过程进行廉政监督，防止出现违规违纪行为。通过这些监管手段和程序，有效保障项目顺利实施，确保合同项目质量和资金安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在项目完成数量方面，严格督促湖南省一建园林建设有限公司完成</w:t>
      </w:r>
      <w:r>
        <w:rPr>
          <w:rFonts w:hint="eastAsia" w:ascii="仿宋_GB2312" w:hAnsi="Times New Roman" w:eastAsia="仿宋_GB2312" w:cs="仿宋_GB2312"/>
          <w:kern w:val="2"/>
          <w:sz w:val="32"/>
          <w:szCs w:val="32"/>
          <w:lang w:val="en-US" w:eastAsia="zh-CN" w:bidi="ar"/>
        </w:rPr>
        <w:t>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w:t>
      </w:r>
      <w:r>
        <w:rPr>
          <w:rFonts w:hint="eastAsia" w:ascii="仿宋_GB2312" w:hAnsi="Times New Roman" w:eastAsia="仿宋_GB2312" w:cs="仿宋_GB2312"/>
          <w:kern w:val="0"/>
          <w:sz w:val="32"/>
          <w:szCs w:val="32"/>
          <w:lang w:val="en-US" w:eastAsia="zh-CN" w:bidi="ar"/>
        </w:rPr>
        <w:t>的绿化养护工作，达到预期目标；在质量方面，按月完成检查验收，符合相关质量标准；在时效方面，按照项目实施进度计划，各阶段工作均按时完成；在成本控制方面，已使用资金</w:t>
      </w:r>
      <w:r>
        <w:rPr>
          <w:rFonts w:hint="default" w:ascii="Times New Roman" w:hAnsi="Times New Roman" w:eastAsia="仿宋_GB2312" w:cs="Times New Roman"/>
          <w:kern w:val="2"/>
          <w:sz w:val="32"/>
          <w:szCs w:val="32"/>
          <w:lang w:val="en-US" w:eastAsia="zh-CN" w:bidi="ar"/>
        </w:rPr>
        <w:t>90</w:t>
      </w:r>
      <w:r>
        <w:rPr>
          <w:rFonts w:hint="eastAsia" w:ascii="仿宋_GB2312" w:hAnsi="Times New Roman" w:eastAsia="仿宋_GB2312" w:cs="仿宋_GB2312"/>
          <w:kern w:val="0"/>
          <w:sz w:val="32"/>
          <w:szCs w:val="32"/>
          <w:lang w:val="en-US" w:eastAsia="zh-CN" w:bidi="ar"/>
        </w:rPr>
        <w:t>万元，未超出已下达资金额度，资金使用合理。目前无违规记录。各项任务量完成、质量标准、进度计划、成本控制目标均实现程度良好。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该项目的资金使用不产生直接的经济效益，主要体现在社会效益以及可持续影响方面。通过对金沙江大道东段等</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条主干道绿化养护项目，环境卫生标准提升度明显，进一步为广大居民营造了干净、舒适的环境，促进了社会和谐，改善城市绿化生态环境，提升城市品位，城市绿化景观对降温增湿、改善光照、净化空气、降低噪音有一定生态效果，有助于改善全市生态环境。不仅提升了环境卫生质量，还在城市可持续发展中发挥着重要作用。</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该项目立项依据充分，绩效目标明确合理，资金使用规范，项目实施过程管理严格，在项目完成情况、社会效益和可持续影响等方面均取得了较好的成效，达到了预期目标。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在项目实施过程中，虽然采取了多种监管手段，但在一些细节方面，如对日常检查次数偏少，园林专业技术能力不足。主要原因是相关监管人员数量有限，且单位监管人员专业知识不足。</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建立健全项目监管机制，加强对项目实施全过程的监督检查次数，学习园林专业知识，确保项目质量和安全。</w:t>
      </w:r>
    </w:p>
    <w:p>
      <w:pPr>
        <w:widowControl/>
        <w:jc w:val="center"/>
        <w:rPr>
          <w:rFonts w:hint="eastAsia" w:ascii="Times New Roman" w:hAnsi="Times New Roman" w:eastAsia="黑体"/>
          <w:color w:val="auto"/>
          <w:sz w:val="44"/>
          <w:szCs w:val="44"/>
          <w:highlight w:val="none"/>
        </w:rPr>
      </w:pPr>
    </w:p>
    <w:p>
      <w:pPr>
        <w:pStyle w:val="15"/>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Times New Roman" w:hAnsi="Times New Roman" w:eastAsia="方正小标宋简体" w:cs="方正小标宋简体"/>
          <w:color w:val="auto"/>
          <w:kern w:val="2"/>
          <w:sz w:val="44"/>
          <w:szCs w:val="44"/>
          <w:lang w:val="en-US"/>
        </w:rPr>
      </w:pPr>
    </w:p>
    <w:p>
      <w:pPr>
        <w:pStyle w:val="36"/>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（攀枝花市燃气安全评估）</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1.职能定位。攀枝花市城市管理行政执法局作为项目主管部门，负责全市燃气安全监督管理，组织开展燃气安全评估，指导燃气行业安全运行，推动燃气设施改造升级。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立项及资金申报依据。根据《攀枝花市发展和改革委员会关于开展2023年度攀枝花市规划及重大项目前期工作经费申报工作的通知》（攀发改发〔2023〕1号）要求，我局申报了“攀枝花市燃气安全评估项目”，申请经费20万元。</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3.资金管理办法及支持方式。项目资金管理严格按照《攀枝花市规划及重大项目前期工作经费管理办法（试行）》执行，采用公开比选方式确定技术咨询单位，资金支持范围为燃气安全评估技术服务。</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4.资金分配原则。资金分配坚持公开、公平、公正原则，综合考虑技术方案合理性、报价合理性、服务能力等因素，最终通过比选确定中标单位。</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1.项目主要内容。委托专业机构对攀枝花市天然气、液化石油气、加气站等领域进行全面安全评估，提出风险评估结论和改造建议，并编制投资估算。</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2.具体绩效目标。完成燃气安全评估报告6份；明确天然气、液化石油气、加气站的安全风险等级；提出分区域、分类型的改造建议；提供工程建设投资估算；项目于2024年10月前完成全部编制工作。</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3.目标合理性分析。项目申报内容与实际完成情况一致，目标设置科学合理，符合全市燃气安全管理实际需求，具备可行性和必要性。</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本次自评采用资料收集、数据比对、目标完成情况核查、专家意见征询等方式，结合项目实施过程记录、资金使用情况、成果文件等进行综合分析和评价。</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2023年7月，市发展改革委、市财政局联合印发《2023年攀枝花市规划及重大项目前期工作经费安排计划》，批复项目资金18万元。2023年10月，通过比选确定中标单位，中标金额17.5万元，资金使用与批复基本一致。</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（二）资金计划、到位及使用情况。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1.资金计划。项目计划总投入18万元，全部为市级财政资金。</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2.资金到位情况。截至评价时点，项目资金已全部到位，到位率100%，资金到位及时。</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3.资金使用情况。截至2024年10月，项目实际支出17.5万元，主要用于支付技术咨询单位服务费。资金使用符合预算安排，支付依据充分，支出程序规范，未发现违规使用情况。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项目实施单位财务管理制度健全，资金使用严格按照预算执行，账务处理及时、规范，会计核算清晰，符合财政资金管理要求。</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项目由我局燃气安全科牵头，财务科配合，委托成都华润燃气设计有限公司具体承担评估工作。项目实施流程包括：需求调研、公开比选、合同签订、报告编制、意见征求、专家评审、修改完善、成果验收等环节。</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（二）项目管理情况。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项目严格遵循招投标、政府采购等相关规定，公开透明选择服务单位。合同管理规范，项目进度定期跟踪，确保按期完成。</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（三）项目监管情况。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我局通过定期听取汇报、组织专家评审、征求多方意见等方式，对项目质量、进度、资金使用等进行全过程监管，确保项目科学、规范、有效推进。</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四、项目绩效情况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数量指标：完成《攀枝花市燃气安全评估报告》6份；</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质量指标：报告内容详实，评估结论科学，改造建议可行，通过专家评审；</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时效指标：项目于2024年10月全面完成，符合计划进度；</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成本指标：实际支出17.5万元，控制在预算范围内；</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资金结余：结余0.5万元，按规定退回财政；</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违规记录：无。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社会效益：明确了全市燃气安全风险底数，为政府决策、行业监管、企业整改提供了科学依据；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生态效益：提出“瓶改管”、智能化改造等措施，有助于减少燃气泄漏、降低环境污染；</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可持续效益：推动燃气行业向智能化、标准化、绿色化方向发展，助力“气化全攀”目标实现；</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满意度：相关县（区）、部门、企业对评估成果表示认可，满意度较高。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项目目标明确，组织管理规范，资金使用合规，成果质量较高，达到了预期绩效目标。项目实施为全市燃气安全治理提供了有力支撑，绩效评价为“优”。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部分县（区）对评估成果的后续转化应用尚未完全落地；燃气安全改造资金需求较大，后续配套资金保障需进一步明确；燃气数字化、智能化建设尚处于起步阶段，需加快统筹推进。</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CESI楷体-GB2312" w:hAnsi="CESI楷体-GB2312" w:eastAsia="CESI楷体-GB2312" w:cs="CESI楷体-GB2312"/>
          <w:b/>
          <w:bCs/>
          <w:kern w:val="2"/>
          <w:sz w:val="32"/>
          <w:szCs w:val="32"/>
          <w:lang w:val="en-US" w:eastAsia="zh-CN" w:bidi="ar"/>
        </w:rPr>
      </w:pPr>
      <w:r>
        <w:rPr>
          <w:rFonts w:hint="eastAsia" w:ascii="CESI楷体-GB2312" w:hAnsi="CESI楷体-GB2312" w:eastAsia="CESI楷体-GB2312" w:cs="CESI楷体-GB2312"/>
          <w:b/>
          <w:bCs/>
          <w:kern w:val="2"/>
          <w:sz w:val="32"/>
          <w:szCs w:val="32"/>
          <w:lang w:val="en-US" w:eastAsia="zh-CN" w:bidi="ar"/>
        </w:rPr>
        <w:t>（三）相关建议。</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强化评估成果应用，推动各县（区）制定具体改造计划；积极争取中央、省级资金支持，多渠道筹措改造资金；加快推进燃气智慧监管平台建设，提升行业监管效能；加强部门协同，推动“瓶改管”、智能化改造等政策落地见效。</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方正仿宋_GBK" w:hAnsi="方正仿宋_GBK" w:eastAsia="方正仿宋_GBK" w:cs="方正仿宋_GBK"/>
          <w:kern w:val="2"/>
          <w:sz w:val="32"/>
          <w:szCs w:val="32"/>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黑体"/>
          <w:color w:val="auto"/>
          <w:sz w:val="44"/>
          <w:szCs w:val="44"/>
          <w:highlight w:val="none"/>
        </w:rPr>
      </w:pPr>
    </w:p>
    <w:p>
      <w:pPr>
        <w:pStyle w:val="3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（“三位一体</w:t>
      </w:r>
      <w:r>
        <w:rPr>
          <w:rFonts w:hint="default" w:ascii="Times New Roman" w:hAnsi="Times New Roman" w:eastAsia="仿宋_GB2312" w:cs="Times New Roman"/>
          <w:color w:val="000000"/>
          <w:kern w:val="2"/>
          <w:sz w:val="32"/>
          <w:szCs w:val="32"/>
          <w:lang w:val="en-US" w:eastAsia="zh-CN" w:bidi="ar"/>
        </w:rPr>
        <w:t>”</w:t>
      </w:r>
      <w:r>
        <w:rPr>
          <w:rFonts w:hint="eastAsia" w:ascii="仿宋_GB2312" w:hAnsi="Times New Roman" w:eastAsia="仿宋_GB2312" w:cs="仿宋_GB2312"/>
          <w:color w:val="000000"/>
          <w:kern w:val="2"/>
          <w:sz w:val="32"/>
          <w:szCs w:val="32"/>
          <w:lang w:val="en-US" w:eastAsia="zh-CN" w:bidi="ar"/>
        </w:rPr>
        <w:t>防灭火专项建设）</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该项目的主管部门为攀枝花市园林绿化服务中心，其主要负责攀枝花公园防灭火专项建设项目的整体规划与统筹，包括确定项目的建设方向和目标、协调各参与单位之间的关系、制定项目实施计划和资金分配方案、监督项目进度和质量、组织项目的验收以及对项目实施过程中的问题进行协调解决等。确保项目按照预定目标顺利推进，有效提升攀枝花公园的防灭火能力。</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该项目立项基于攀枝花地区森林防火形势的严峻性以及攀枝花公园作为重要森林区域面临的火灾风险。随着气候变暖和游客数量的增加，公园原有的防灭火设施和措施已难以满足实际需求。依据相关森林防火法律法规、地方森林防火规划文件以及市政府关于加强森林防火工作的指示精神，为保障公园生态环境和游客安全，立项开展“三位一体”防灭火专项建设项目。根据市政府对《攀枝花市财政局关于攀枝花公园“三位一体”防灭火体系建设经费的请示》（攀财政【2021】134号）的批示。在资金申报方面，根据项目规划的建设内容、规模以及预计实施费用，结合财政资金支持政策和标准，编制了详细的项目预算，并按照规定的程序逐级申报，以获取足够的资金支持项目建设。</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为确保资金合理使用，制定了专门的资金管理办法。该办法明确了资金的使用范围仅限于攀枝花公园“三位一体”防灭火专项建设项目相关的各项支出，包括基础设施建设、设备购置、人员培训、宣传教育等方面。资金支持具体项目需符合项目规划和建设目标，经过严格的项目评审和论证，确保项目具有必要性、可行性和效益性。支持方式主要采用财政拨款，根据项目建设进度和实际需求分阶段拨付资金，同时要求项目实施单位严格按照预算执行，专款专用，不得挪作他用。</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资金分配遵循“科学规划、合理布局、突出重点、注重效益”的原则。首先考虑公园不同区域的火灾风险程度，将资金优先分配到火灾隐患较大的重点区域，如植被茂密、游客活动频繁的山林地带等。其次，根据项目建设内容的轻重缓急进行分配，优先保障基础设施建设和关键设备购置等直接影响防灭火能力提升的项目。此外，还考虑项目实施单位的实际情况和执行能力，确保资金分配后能够得到有效利用，避免资金闲置或浪费。</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攀枝花公园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三位一体</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防灭火专项建设项目实施地点位于攀枝花公园内，具体包含建设公园全域覆盖的森林防火智能可视化监测系统，实现对景区森林火灾的全域实时监控和防灭火指挥调度等智慧化功能；在园内重点区域和出入口建设智慧化监控系统，实现远程查看公园客流情况，全视角监控公园主要出入口客流情况和重点区域游客活动情况及相关设施运行情况，从而提高应对各类突发事故的及时性；建设园内智慧化广播系统，实现集中管理、分区广播、应急广播、广播对讲等功能；延长建设消防水管和消防栓，确保报社后山区域、景石山区域、中央铭城</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东大门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入口步道区域、竹湖园后山步道区域，以便在发生火灾时能利用消防用水进行灭火；微型消防站建设，在园内增加建设微型消防站，确保发生火灾时能有消防器具进行灭火；将前庭广场、办公室下行、金福停车场、菩提苑停车场道闸系统和监控系统并入全园智慧化监控系统；纪念碑消防通道建设，便于纪念碑消防应急使用。</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量化目标：安装森林防火云平台监控3套，视频存储NVR1台、监控硬盘10个、森林防火平台1套、防火墙1台、UPS1套、监控终端2台、监控大屏1套、监控屏1台、POE交换机1台、环网光交换机1台。安装安防高清摄像机56个（其中球机6个、枪机50个），安装广播系统及相关配套1套，铺设消防管网及消防栓1套（DN100消防管网1292.4米、消防栓17个），建设纪念碑消防通道1套。</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质化目标：建立健全公园防灭火管理体系和应急处置机制，确保在遇到火情时能够快速响应、有效处置，将火灾损失降到最低；提升公园整体生态环境的安全性和稳定性，保护公园内的森林资源和生物多样性。</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经分析评价，项目申报内容与实际需求基本相符。项目所列的各项建设内容均针对攀枝花公园当前防灭火工作中的薄弱环节和亟待解决的问题，且符合相关森林防火规范和要求。申报目标在考虑公园实际情况和资源条件的基础上，进行了合理的量化和细化，同时通过科学规划和有效实施具备可行性。设备购置数量和类型也是依据公园防灭火实际需求和先进适用性原则选定的。因此，申报目标能够为项目实施提供明确的方向和衡量标准，具有合理性与可行性。</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成立自评小组：由项目主管部门牵头，组织相关业务科室、财务人员以及技术支持单位等组成自评小组，明确各成员的职责分工。</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收集资料数据：收集项目立项文件、预算批复、资金拨付凭证、项目建设合同、招投标文件、监理报告、财务账簿、凭证、竣工验收报告、培训记录、宣传教育活动资料以及相关图片、视频等资料，为自评工作提供全面、准确的基础数据。</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实地勘查与调查：自评小组赴攀枝花公园项目实施现场进行实地勘查，查看项目建设内容的完成情况、质量状况以及设备运行情况等；同时，对公园管理人员、防灭火人员和游客等进行问卷调查和访谈，了解项目实施效果和各方满意度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数据分析与评价：对收集到的资料数据进行整理和分析，按照绩效评价指标体系对项目的投入、过程、产出和效益等方面进行评价，对比项目实际完成情况与申报目标的差异，找出存在的问题及其原因。</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形成自评报告：根据以上自评工作结果，撰写项目支出绩效自评报告，客观、公正地反映项目实施情况和绩效评价结论，并提出针对性的改进措施和建议。</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该项目按照规定的程序向市财政局进行了资金申报，申报金额为</w:t>
      </w:r>
      <w:r>
        <w:rPr>
          <w:rFonts w:hint="default" w:ascii="Times New Roman" w:hAnsi="Times New Roman" w:eastAsia="仿宋_GB2312" w:cs="Times New Roman"/>
          <w:kern w:val="2"/>
          <w:sz w:val="32"/>
          <w:szCs w:val="32"/>
          <w:lang w:val="en-US" w:eastAsia="zh-CN" w:bidi="ar"/>
        </w:rPr>
        <w:t>140</w:t>
      </w:r>
      <w:r>
        <w:rPr>
          <w:rFonts w:hint="eastAsia" w:ascii="仿宋_GB2312" w:hAnsi="Times New Roman" w:eastAsia="仿宋_GB2312" w:cs="仿宋_GB2312"/>
          <w:kern w:val="2"/>
          <w:sz w:val="32"/>
          <w:szCs w:val="32"/>
          <w:lang w:val="en-US" w:eastAsia="zh-CN" w:bidi="ar"/>
        </w:rPr>
        <w:t>万元。申报过程中，详细阐述了项目建设的必要性、可行性和预期效益，编制了严谨的项目预算，包括各项建设内容和费用明细。经市财政局审核后，批复项目资金</w:t>
      </w:r>
      <w:r>
        <w:rPr>
          <w:rFonts w:hint="default" w:ascii="Times New Roman" w:hAnsi="Times New Roman" w:eastAsia="仿宋_GB2312" w:cs="Times New Roman"/>
          <w:kern w:val="2"/>
          <w:sz w:val="32"/>
          <w:szCs w:val="32"/>
          <w:lang w:val="en-US" w:eastAsia="zh-CN" w:bidi="ar"/>
        </w:rPr>
        <w:t>140</w:t>
      </w:r>
      <w:r>
        <w:rPr>
          <w:rFonts w:hint="eastAsia" w:ascii="仿宋_GB2312" w:hAnsi="Times New Roman" w:eastAsia="仿宋_GB2312" w:cs="仿宋_GB2312"/>
          <w:kern w:val="2"/>
          <w:sz w:val="32"/>
          <w:szCs w:val="32"/>
          <w:lang w:val="en-US" w:eastAsia="zh-CN" w:bidi="ar"/>
        </w:rPr>
        <w:t>万元，并下达了预算指标文件。</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资金计划。</w:t>
      </w:r>
      <w:r>
        <w:rPr>
          <w:rFonts w:hint="eastAsia" w:ascii="仿宋_GB2312" w:hAnsi="Times New Roman" w:eastAsia="仿宋_GB2312" w:cs="仿宋_GB2312"/>
          <w:kern w:val="2"/>
          <w:sz w:val="32"/>
          <w:szCs w:val="32"/>
          <w:lang w:val="en-US" w:eastAsia="zh-CN" w:bidi="ar"/>
        </w:rPr>
        <w:t>该项目在攀枝花市防灭火整体资金规划中占有重要地位，计划投入资金为</w:t>
      </w:r>
      <w:r>
        <w:rPr>
          <w:rFonts w:hint="default" w:ascii="Times New Roman" w:hAnsi="Times New Roman" w:eastAsia="仿宋_GB2312" w:cs="Times New Roman"/>
          <w:kern w:val="2"/>
          <w:sz w:val="32"/>
          <w:szCs w:val="32"/>
          <w:lang w:val="en-US" w:eastAsia="zh-CN" w:bidi="ar"/>
        </w:rPr>
        <w:t>128</w:t>
      </w:r>
      <w:r>
        <w:rPr>
          <w:rFonts w:hint="eastAsia" w:ascii="仿宋_GB2312" w:hAnsi="Times New Roman" w:eastAsia="仿宋_GB2312" w:cs="仿宋_GB2312"/>
          <w:kern w:val="2"/>
          <w:sz w:val="32"/>
          <w:szCs w:val="32"/>
          <w:lang w:val="en-US" w:eastAsia="zh-CN" w:bidi="ar"/>
        </w:rPr>
        <w:t>万元，市级财政资金</w:t>
      </w:r>
      <w:r>
        <w:rPr>
          <w:rFonts w:hint="default" w:ascii="Times New Roman" w:hAnsi="Times New Roman" w:eastAsia="仿宋_GB2312" w:cs="Times New Roman"/>
          <w:kern w:val="2"/>
          <w:sz w:val="32"/>
          <w:szCs w:val="32"/>
          <w:lang w:val="en-US" w:eastAsia="zh-CN" w:bidi="ar"/>
        </w:rPr>
        <w:t>128</w:t>
      </w:r>
      <w:r>
        <w:rPr>
          <w:rFonts w:hint="eastAsia"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年下达资金计划</w:t>
      </w:r>
      <w:r>
        <w:rPr>
          <w:rFonts w:hint="default" w:ascii="Times New Roman" w:hAnsi="Times New Roman" w:eastAsia="仿宋_GB2312" w:cs="Times New Roman"/>
          <w:kern w:val="0"/>
          <w:sz w:val="32"/>
          <w:szCs w:val="32"/>
          <w:shd w:val="clear" w:fill="FFFFFF"/>
          <w:lang w:val="en-US" w:eastAsia="zh-CN" w:bidi="ar"/>
        </w:rPr>
        <w:t>61.87</w:t>
      </w:r>
      <w:r>
        <w:rPr>
          <w:rFonts w:hint="eastAsia" w:ascii="仿宋_GB2312" w:hAnsi="Times New Roman" w:eastAsia="仿宋_GB2312" w:cs="仿宋_GB2312"/>
          <w:kern w:val="0"/>
          <w:sz w:val="32"/>
          <w:szCs w:val="32"/>
          <w:shd w:val="clear" w:fill="FFFFFF"/>
          <w:lang w:val="en-US" w:eastAsia="zh-CN" w:bidi="ar"/>
        </w:rPr>
        <w:t>万元</w:t>
      </w:r>
      <w:r>
        <w:rPr>
          <w:rFonts w:hint="eastAsia" w:ascii="仿宋_GB2312" w:hAnsi="Times New Roman" w:eastAsia="仿宋_GB2312" w:cs="仿宋_GB2312"/>
          <w:kern w:val="2"/>
          <w:sz w:val="32"/>
          <w:szCs w:val="32"/>
          <w:lang w:val="en-US" w:eastAsia="zh-CN" w:bidi="ar"/>
        </w:rPr>
        <w:t>。按照项目进度和合同约定用于本工程建设及其他合理支出，资金来源合法稳定，使用符合项目要求。</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年，该</w:t>
      </w:r>
      <w:r>
        <w:rPr>
          <w:rFonts w:hint="eastAsia" w:ascii="仿宋_GB2312" w:hAnsi="Times New Roman" w:eastAsia="仿宋_GB2312" w:cs="仿宋_GB2312"/>
          <w:color w:val="000000"/>
          <w:kern w:val="0"/>
          <w:sz w:val="32"/>
          <w:szCs w:val="32"/>
          <w:shd w:val="clear" w:fill="FFFFFF"/>
          <w:lang w:val="en-US" w:eastAsia="zh-CN" w:bidi="ar"/>
        </w:rPr>
        <w:t>项目年初预算资金总额为</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元，调整后预算数为</w:t>
      </w:r>
      <w:r>
        <w:rPr>
          <w:rFonts w:hint="default" w:ascii="Times New Roman" w:hAnsi="Times New Roman" w:eastAsia="仿宋_GB2312" w:cs="Times New Roman"/>
          <w:color w:val="000000"/>
          <w:kern w:val="0"/>
          <w:sz w:val="32"/>
          <w:szCs w:val="32"/>
          <w:shd w:val="clear" w:fill="FFFFFF"/>
          <w:lang w:val="en-US" w:eastAsia="zh-CN" w:bidi="ar"/>
        </w:rPr>
        <w:t>61.87</w:t>
      </w:r>
      <w:r>
        <w:rPr>
          <w:rFonts w:hint="eastAsia" w:ascii="仿宋_GB2312" w:hAnsi="Times New Roman" w:eastAsia="仿宋_GB2312" w:cs="仿宋_GB2312"/>
          <w:color w:val="000000"/>
          <w:kern w:val="0"/>
          <w:sz w:val="32"/>
          <w:szCs w:val="32"/>
          <w:shd w:val="clear" w:fill="FFFFFF"/>
          <w:lang w:val="en-US" w:eastAsia="zh-CN" w:bidi="ar"/>
        </w:rPr>
        <w:t>万元，项目实际支出资金</w:t>
      </w:r>
      <w:r>
        <w:rPr>
          <w:rFonts w:hint="default" w:ascii="Times New Roman" w:hAnsi="Times New Roman" w:eastAsia="仿宋_GB2312" w:cs="Times New Roman"/>
          <w:color w:val="000000"/>
          <w:kern w:val="0"/>
          <w:sz w:val="32"/>
          <w:szCs w:val="32"/>
          <w:shd w:val="clear" w:fill="FFFFFF"/>
          <w:lang w:val="en-US" w:eastAsia="zh-CN" w:bidi="ar"/>
        </w:rPr>
        <w:t>61.87</w:t>
      </w:r>
      <w:r>
        <w:rPr>
          <w:rFonts w:hint="eastAsia" w:ascii="仿宋_GB2312" w:hAnsi="Times New Roman" w:eastAsia="仿宋_GB2312" w:cs="仿宋_GB2312"/>
          <w:color w:val="000000"/>
          <w:kern w:val="0"/>
          <w:sz w:val="32"/>
          <w:szCs w:val="32"/>
          <w:shd w:val="clear" w:fill="FFFFFF"/>
          <w:lang w:val="en-US" w:eastAsia="zh-CN" w:bidi="ar"/>
        </w:rPr>
        <w:t>万元，资金执行率为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在资金使用的安全性方面，项目实施单位严格遵守财务管理规定，设立了专门的资金账户，对项目资金实行专人管理、专款专用，确保资金使用安全，未发生任何挤占、挪用、截留等违规违纪行为。在规范性方面，资金支付严格按照合同约定、工程进度和费用报销审批流程进行操作，支付范围、支付标准、支付进度均符合相关法律法规和项目预算要求，支付依据充分、合规。在有效性方面，项目资金的投入与实际完成的项目建设内容和工作量基本匹配，各项支出都直接服务于项目防灭火目标的实现，发挥了资金的使用效益。</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单位均建立了较为健全的财务管理制度，包括财务核算制度、资金管理制度、报销审批制度等，明确了财务管理的职责和权限，规范了财务工作流程。在项目实施过程中，严格执行财务管理制度，对项目资金进行单独核算，及时进行账务处理，确保会计信息的真实、准确和完整。财务人员定期对项目资金收支情况进行对账和分析，及时发现和纠正财务管理中存在的问题，保障了项目财务管理工作的有序进行。总体来看，各项目实施单位的财务管理制度执行情况良好，能够有效防范财务风险，确保项目资金的安全和合理使用。</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建立了以项目主管部门为核心，项目建设单位、设计单位、监理单位、施工单位等多方参与的组织架构。项目主管部门负责项目的总体决策和协调工作，项目建设单位具体负责项目的组织实施，包括项目前期准备、招投标、合同签订、工程建设管理、资金申请与支付等日常工作。监理单位对项目施工过程进行全程监理，确保工程质量、进度和安全。施工单位按照设计要求和施工规范进行项目建设施工。</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项目实施流程主要包括以下几个阶段：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项目前期准备阶段：开展项目可行性研究、规划设计、编制项目预算、办理项目审批手续等工作。</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招投标阶段：按照政府采购等相关法律法规，对项目工程、设备采购等进行政府采购。</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施工建设阶段：施工单位根据施工合同和设计要求进行项目建设施工，监理单位进行现场监理，项目建设单位定期组织召开项目协调会，解决施工过程中出现的问题，确保工程顺利推进。</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竣工验收阶段：项目完成后，由项目建设单位组织相关部门专业技术人员进行竣工验收，对项目建设内容、工程质量、资金使用等情况进行全面检查和评估，形成竣工验收报告。</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楷体_GB2312" w:cs="Times New Roman"/>
          <w:b/>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项目运行维护阶段：项目竣工验收后，进入运行维护期，由公园管理部门负责项目的日常运行维护和管理，确保项目设施设备正常运行，发挥防灭火效益。</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（二）项目管理情况。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各项目实施单位在项目管理过程中严格遵守相关法律法规和项目管理制度，执行了招投标、政府采购、项目公示制等规定。在招投标方面，所有项目工程和设备采购均按照法定程序进行了公开招投标，招标公告在指定媒体上发布，吸引了多家有资质的单位参与投标，招标过程公开、公平、公正，评标工作由专家组成的评标委员会进行评审，确保中标单位具备相应的实力和信誉。在政府采购方面，对于涉及到的设备、材料等采购，严格按照政府采购目录和限额标准执行，采用合适的政府采购方式，如公开招标、竞争性谈判等，采购过程规范透明，采购结果满足项目需求且符合财政资金使用要求。在项目公示制方面，项目的基本信息、建设内容、资金来源、招投标情况、实施进度等在项目实施现场和相关政府网站进行公示，接受社会公众的监督，提高了项目实施的透明度和公信力。</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楷体_GB2312" w:hAnsi="Times New Roman" w:eastAsia="楷体_GB2312" w:cs="楷体_GB2312"/>
          <w:b/>
          <w:kern w:val="2"/>
          <w:sz w:val="32"/>
          <w:szCs w:val="32"/>
          <w:lang w:val="en-US" w:eastAsia="zh-CN" w:bidi="ar"/>
        </w:rPr>
      </w:pPr>
      <w:r>
        <w:rPr>
          <w:rFonts w:hint="eastAsia" w:ascii="楷体_GB2312" w:eastAsia="楷体_GB2312" w:cs="楷体_GB2312"/>
          <w:b/>
          <w:kern w:val="2"/>
          <w:sz w:val="32"/>
          <w:szCs w:val="32"/>
          <w:lang w:val="en-US" w:eastAsia="zh-CN" w:bidi="ar"/>
        </w:rPr>
        <w:t>（三）</w:t>
      </w:r>
      <w:r>
        <w:rPr>
          <w:rFonts w:hint="default" w:ascii="楷体_GB2312" w:hAnsi="Times New Roman" w:eastAsia="楷体_GB2312" w:cs="楷体_GB2312"/>
          <w:b/>
          <w:kern w:val="2"/>
          <w:sz w:val="32"/>
          <w:szCs w:val="32"/>
          <w:lang w:val="en-US" w:eastAsia="zh-CN" w:bidi="ar"/>
        </w:rPr>
        <w:t>项目监管情况。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主管部门为加强项目管理，采取了一系列有效的监管手段和措施。一是建立了项目定期报告制度，要求项目建设单位及时向主管部门报送项目进展情况报告，包括工程进度、资金使用、存在问题及解决措施等内容，及时掌握项目动态。二是加强现场监督检查，组织相关人员对项目实施现场进行实地查看，重点检查工程建设质量、施工安全、资金使用等情况，对检查中发现的问题及时下达整改通知书，要求限期整改，并跟踪整改落实情况。通过以上监管手段和措施的运用，项目监管工作取得了良好效果，有效保障了项目质量和效益的实现。</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是建设攀枝花公园全域覆盖的森林防火智能可视化监测系统。安装森林防火云平台监控3套，视频存储NVR1台、监控硬盘10个、森林防火平台1套、防火墙1台、UPS1套、监控终端2台、监控大屏1套、监控屏1台、POE交换机1台、环网光交换机1台，实现对景区森林火灾的全域实时监控和防灭火指挥调度等智慧化功能。二是在园内重点区域和出入口建设智慧化监控系统。安装安防高清摄像机56个（其中球机6个、枪机50个），实现远程查看公园客流情况，全视角监控公园主要出入口客流情况和重点区域游客活动情况及相关设施运行情况，从而提高应对各类突发事故的及时性。三是建设园内智慧化广播系统。安装广播系统及相关配套1套，实现集中管理、分区广播、应急广播、广播对讲等功能。四是延长建设消防水管和消防栓。铺设消防管网及消防栓1套（DN100消防管网1292.4米、消防栓17个），确保报社后山区域、景石山区域、中央铭城(东大门)入口步道区域、竹湖园后山步道区域，以便在发生火灾时能利用消防用水进行灭火。五是建设微型消防站。在园内增加建设微型消防站，确保发生火灾时能有消防器具进行灭火。六是将前庭广场、办公室下行、金福停车场、菩提苑停车场道闸系统和监控系统并入全园智慧化监控系统。七是建设纪念碑消防通道1套，便于纪念碑消防应急使用。</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项目实施过程中，严格遵循项目预算和成本控制原则，通过科学的项目管理、合理的招投标采购以及有效的成本监控措施，各项费用支出基本控制在预算范围内。同时，项目在实施过程中未发生任何违规记录，未出现质量事故和安全事故，确保了项目资金的合理使用和项目的顺利实施。</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经济效益</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实施后，完善了攀枝花公园的防灭火设施和装备，有效降低了火灾发生的风险，减少了因火灾可能导致的森林资源损失和后续的生态修复成本。同时，公园生态环境的改善和安全保障的提升也有助于吸引更多游客前来观光旅游，带动周边旅游产业的发展，增加旅游收入，对促进当地经济发展具有一定的积极影响。</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社会效益</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攀枝花公园作为城市重要的生态休闲场所，其防灭火能力的提升直接关系到公园游客的生命财产安全和社会稳定。该项目的实施为游客提供了一个更加安全、舒适的游览环境，增强了市民对城市公园的满意度和归属感。此外，项目开展的防灭火宣传教育活动，提高了公众的防火意识和环保意识，对推动全社会形成良好的森林防火氛围和生态保护意识具有重要意义，其社会效益无法直接用金钱衡量，但对社会的稳定和谐发展产生了深远影响。</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生态效益</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消防水网系统的完善，增强了公园森林的抗火能力和生态系统的稳定性，有效保护了公园内的植被、野生动物及其生态环境，维护了生物多样性。同时，减少了森林火灾对大气环境的污染，降低了火灾产生的烟尘和有害气体排放，对改善区域生态环境质量起到了积极作用，实现了生态效益与经济效益、社会效益的有机统一。</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可持续效益</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构建的“三位一体”防灭火体系具有长期性和可持续性。消防水网系统经过定期维护和更新，能够持续为公园提供消防供水保障；防灭火设备的购置和更新以及人员培训和宣传教育活动的常态化开展，将进一步提升公园的防灭火能力和应急处置水平，为公园的长期安全运营和生态环境保护奠定坚实基础，确保项目效益的持续发挥。</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服务对象满意度</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通过问卷调查和访谈等方式对服务对象满意度进行调查，结果显示，公园管理人员对项目实施效果的满意度达到</w:t>
      </w:r>
      <w:r>
        <w:rPr>
          <w:rFonts w:hint="default" w:ascii="Times New Roman" w:hAnsi="Times New Roman" w:eastAsia="仿宋_GB2312" w:cs="Times New Roman"/>
          <w:kern w:val="2"/>
          <w:sz w:val="32"/>
          <w:szCs w:val="32"/>
          <w:lang w:val="en-US" w:eastAsia="zh-CN" w:bidi="ar"/>
        </w:rPr>
        <w:t>95%</w:t>
      </w:r>
      <w:r>
        <w:rPr>
          <w:rFonts w:hint="eastAsia" w:ascii="仿宋_GB2312" w:hAnsi="Times New Roman" w:eastAsia="仿宋_GB2312" w:cs="仿宋_GB2312"/>
          <w:kern w:val="2"/>
          <w:sz w:val="32"/>
          <w:szCs w:val="32"/>
          <w:lang w:val="en-US" w:eastAsia="zh-CN" w:bidi="ar"/>
        </w:rPr>
        <w:t>，认为项目建设有效提升了公园的防灭火能力和管理水平，解决了以往防灭火工作中的诸多问题；防灭火人员对培训和设备配备的满意度为</w:t>
      </w:r>
      <w:r>
        <w:rPr>
          <w:rFonts w:hint="default" w:ascii="Times New Roman" w:hAnsi="Times New Roman" w:eastAsia="仿宋_GB2312" w:cs="Times New Roman"/>
          <w:kern w:val="2"/>
          <w:sz w:val="32"/>
          <w:szCs w:val="32"/>
          <w:lang w:val="en-US" w:eastAsia="zh-CN" w:bidi="ar"/>
        </w:rPr>
        <w:t>95%</w:t>
      </w:r>
      <w:r>
        <w:rPr>
          <w:rFonts w:hint="eastAsia" w:ascii="仿宋_GB2312" w:hAnsi="Times New Roman" w:eastAsia="仿宋_GB2312" w:cs="仿宋_GB2312"/>
          <w:kern w:val="2"/>
          <w:sz w:val="32"/>
          <w:szCs w:val="32"/>
          <w:lang w:val="en-US" w:eastAsia="zh-CN" w:bidi="ar"/>
        </w:rPr>
        <w:t>，表示通过培训提高了自身专业技能，新配备的设备使灭火工作更加高效便捷；游客对公园的防火措施和安全保障以及宣传教育活动的满意度达到</w:t>
      </w:r>
      <w:r>
        <w:rPr>
          <w:rFonts w:hint="default" w:ascii="Times New Roman" w:hAnsi="Times New Roman" w:eastAsia="仿宋_GB2312" w:cs="Times New Roman"/>
          <w:kern w:val="2"/>
          <w:sz w:val="32"/>
          <w:szCs w:val="32"/>
          <w:lang w:val="en-US" w:eastAsia="zh-CN" w:bidi="ar"/>
        </w:rPr>
        <w:t>95%</w:t>
      </w:r>
      <w:r>
        <w:rPr>
          <w:rFonts w:hint="eastAsia" w:ascii="仿宋_GB2312" w:hAnsi="Times New Roman" w:eastAsia="仿宋_GB2312" w:cs="仿宋_GB2312"/>
          <w:kern w:val="2"/>
          <w:sz w:val="32"/>
          <w:szCs w:val="32"/>
          <w:lang w:val="en-US" w:eastAsia="zh-CN" w:bidi="ar"/>
        </w:rPr>
        <w:t>，认为在公园游玩时能够感受到安全和舒适的环境，同时增长了防火知识，对公园的满意度和好评度显著提升。</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通过对攀枝花公园“三位一体”防灭火专项建设项目支出绩效的综合评价，该项目在项目立项、资金使用、组织实施、项目管理以及绩效目标实现等方面均表现良好。该项目按照预定计划完成了各项建设任务，建设内容符合实际需求，资金投入合理、使用规范，项目管理严谨、监管到位，取得了显著的经济效益、社会效益、生态效益和可持续效益，服务对象满意度较高。根据绩效评价指标体系评分，该项目绩效评价得分为</w:t>
      </w:r>
      <w:r>
        <w:rPr>
          <w:rFonts w:hint="default" w:ascii="Times New Roman" w:hAnsi="Times New Roman" w:eastAsia="仿宋_GB2312" w:cs="Times New Roman"/>
          <w:kern w:val="2"/>
          <w:sz w:val="32"/>
          <w:szCs w:val="32"/>
          <w:lang w:val="en-US" w:eastAsia="zh-CN" w:bidi="ar"/>
        </w:rPr>
        <w:t>96</w:t>
      </w:r>
      <w:r>
        <w:rPr>
          <w:rFonts w:hint="eastAsia" w:ascii="仿宋_GB2312" w:hAnsi="Times New Roman" w:eastAsia="仿宋_GB2312" w:cs="仿宋_GB2312"/>
          <w:kern w:val="2"/>
          <w:sz w:val="32"/>
          <w:szCs w:val="32"/>
          <w:lang w:val="en-US" w:eastAsia="zh-CN" w:bidi="ar"/>
        </w:rPr>
        <w:t>分（满分</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分），评价等级为“优”。</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效益发挥方面：虽然项目实施取得了一定的效益，但在后续的运行维护和管理中，还存在一些薄弱环节。如部分防灭火设备的操作和维护需要进一步加强培训，以确保设备长期稳定运行；宣传教育活动的深度和广度有待拓展，以持续提升公众的防火意识。</w:t>
      </w:r>
      <w:r>
        <w:rPr>
          <w:rFonts w:hint="default" w:ascii="Times New Roman" w:hAnsi="Times New Roman" w:eastAsia="仿宋_GB2312" w:cs="Times New Roman"/>
          <w:kern w:val="2"/>
          <w:sz w:val="32"/>
          <w:szCs w:val="32"/>
          <w:lang w:val="en-US" w:eastAsia="zh-CN" w:bidi="ar"/>
        </w:rPr>
        <w:tab/>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强化项目运行维护与效益提升：制定详细的项目运行维护计划和操作规程，加强对防灭火设备设施的日常检查、维护和保养，定期对设备操作人员进行复训和考核，确保设备始终处于良好运行状态。进一步丰富防灭火宣传教育活动的形式和内容，利用现代信息技术和新媒体平台，扩大宣传范围，提高宣传效果，使公众的防火意识深入人心，形成全社会共同参与森林防火的良好局面。</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 xml:space="preserve">    综上所述，攀枝花公园“三位一体”防灭火专项建设项目在提高公园防灭火能力、保障生态环境和游客安全等方面发挥了重要作用，通过针对存在问题采取有效措施加以改进和完善，将使项目发挥更大的效益，为攀枝花市的森林防火工作和生态文明建设做出更大贡献。</w:t>
      </w:r>
    </w:p>
    <w:p>
      <w:pPr>
        <w:adjustRightInd w:val="0"/>
        <w:snapToGrid w:val="0"/>
        <w:spacing w:line="600" w:lineRule="exact"/>
        <w:ind w:firstLine="640" w:firstLineChars="200"/>
        <w:rPr>
          <w:rFonts w:ascii="Times New Roman" w:hAnsi="Times New Roman" w:eastAsia="仿宋_GB2312"/>
          <w:sz w:val="32"/>
          <w:szCs w:val="32"/>
        </w:rPr>
      </w:pPr>
    </w:p>
    <w:p>
      <w:pPr>
        <w:pStyle w:val="3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olor w:val="auto"/>
          <w:kern w:val="2"/>
          <w:sz w:val="44"/>
          <w:szCs w:val="44"/>
        </w:rPr>
      </w:pPr>
    </w:p>
    <w:p>
      <w:pPr>
        <w:pStyle w:val="3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olor w:val="auto"/>
          <w:kern w:val="2"/>
          <w:sz w:val="44"/>
          <w:szCs w:val="44"/>
        </w:rPr>
      </w:pPr>
      <w:r>
        <w:rPr>
          <w:rFonts w:ascii="Times New Roman" w:hAnsi="Times New Roman" w:eastAsia="方正小标宋简体"/>
          <w:color w:val="auto"/>
          <w:kern w:val="2"/>
          <w:sz w:val="44"/>
          <w:szCs w:val="44"/>
        </w:rPr>
        <w:t>专项预算项目支出绩效自评报告</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（花街三期打造项目）</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color w:val="000000"/>
          <w:kern w:val="0"/>
          <w:sz w:val="32"/>
          <w:szCs w:val="32"/>
          <w:shd w:val="clear" w:fill="FFFFFF"/>
          <w:lang w:val="en-US" w:eastAsia="zh-CN" w:bidi="ar"/>
        </w:rPr>
        <w:t>花街三期打造项目是由市城管执法局牵头，市园林绿化服务中心负责实施</w:t>
      </w:r>
      <w:r>
        <w:rPr>
          <w:rFonts w:hint="eastAsia" w:ascii="仿宋_GB2312" w:hAnsi="Times New Roman" w:eastAsia="仿宋_GB2312" w:cs="仿宋_GB2312"/>
          <w:kern w:val="2"/>
          <w:sz w:val="32"/>
          <w:szCs w:val="32"/>
          <w:lang w:val="en-US" w:eastAsia="zh-CN" w:bidi="ar"/>
        </w:rPr>
        <w:t>。在项目管理中主要承担着规划制定、统筹协调、监督管理等重要职能。包括但不限于项目前期的调研与规划编制，组织项目的申报与评审，对项目实施过程进行监督与指导，确保项目按计划推进，并对项目资金使用情况进行监管等，以保障项目的顺利开展和实施效果。</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该项目立项依据为</w:t>
      </w:r>
      <w:r>
        <w:rPr>
          <w:rFonts w:hint="eastAsia" w:ascii="仿宋_GB2312" w:hAnsi="Times New Roman" w:eastAsia="仿宋_GB2312" w:cs="仿宋_GB2312"/>
          <w:color w:val="000000"/>
          <w:kern w:val="0"/>
          <w:sz w:val="32"/>
          <w:szCs w:val="32"/>
          <w:shd w:val="clear" w:fill="FFFFFF"/>
          <w:lang w:val="en-US" w:eastAsia="zh-CN" w:bidi="ar"/>
        </w:rPr>
        <w:t>落实市委、市政府</w:t>
      </w:r>
      <w:r>
        <w:rPr>
          <w:rFonts w:hint="default" w:ascii="Times New Roman" w:hAnsi="Times New Roman" w:eastAsia="仿宋_GB2312" w:cs="Times New Roman"/>
          <w:color w:val="000000"/>
          <w:kern w:val="0"/>
          <w:sz w:val="32"/>
          <w:szCs w:val="32"/>
          <w:shd w:val="clear" w:fill="FFFFFF"/>
          <w:lang w:val="en-US" w:eastAsia="zh-CN" w:bidi="ar"/>
        </w:rPr>
        <w:t>“</w:t>
      </w:r>
      <w:r>
        <w:rPr>
          <w:rFonts w:hint="eastAsia" w:ascii="仿宋_GB2312" w:hAnsi="Times New Roman" w:eastAsia="仿宋_GB2312" w:cs="仿宋_GB2312"/>
          <w:color w:val="000000"/>
          <w:kern w:val="0"/>
          <w:sz w:val="32"/>
          <w:szCs w:val="32"/>
          <w:shd w:val="clear" w:fill="FFFFFF"/>
          <w:lang w:val="en-US" w:eastAsia="zh-CN" w:bidi="ar"/>
        </w:rPr>
        <w:t>一三三三</w:t>
      </w:r>
      <w:r>
        <w:rPr>
          <w:rFonts w:hint="default" w:ascii="Times New Roman" w:hAnsi="Times New Roman" w:eastAsia="仿宋_GB2312" w:cs="Times New Roman"/>
          <w:color w:val="000000"/>
          <w:kern w:val="0"/>
          <w:sz w:val="32"/>
          <w:szCs w:val="32"/>
          <w:shd w:val="clear" w:fill="FFFFFF"/>
          <w:lang w:val="en-US" w:eastAsia="zh-CN" w:bidi="ar"/>
        </w:rPr>
        <w:t>”</w:t>
      </w:r>
      <w:r>
        <w:rPr>
          <w:rFonts w:hint="eastAsia" w:ascii="仿宋_GB2312" w:hAnsi="Times New Roman" w:eastAsia="仿宋_GB2312" w:cs="仿宋_GB2312"/>
          <w:color w:val="000000"/>
          <w:kern w:val="0"/>
          <w:sz w:val="32"/>
          <w:szCs w:val="32"/>
          <w:shd w:val="clear" w:fill="FFFFFF"/>
          <w:lang w:val="en-US" w:eastAsia="zh-CN" w:bidi="ar"/>
        </w:rPr>
        <w:t>总体发展战略和</w:t>
      </w:r>
      <w:r>
        <w:rPr>
          <w:rFonts w:hint="default" w:ascii="Times New Roman" w:hAnsi="Times New Roman" w:eastAsia="仿宋_GB2312" w:cs="Times New Roman"/>
          <w:color w:val="000000"/>
          <w:kern w:val="0"/>
          <w:sz w:val="32"/>
          <w:szCs w:val="32"/>
          <w:shd w:val="clear" w:fill="FFFFFF"/>
          <w:lang w:val="en-US" w:eastAsia="zh-CN" w:bidi="ar"/>
        </w:rPr>
        <w:t>“</w:t>
      </w:r>
      <w:r>
        <w:rPr>
          <w:rFonts w:hint="eastAsia" w:ascii="仿宋_GB2312" w:hAnsi="Times New Roman" w:eastAsia="仿宋_GB2312" w:cs="仿宋_GB2312"/>
          <w:color w:val="000000"/>
          <w:kern w:val="0"/>
          <w:sz w:val="32"/>
          <w:szCs w:val="32"/>
          <w:shd w:val="clear" w:fill="FFFFFF"/>
          <w:lang w:val="en-US" w:eastAsia="zh-CN" w:bidi="ar"/>
        </w:rPr>
        <w:t>四花</w:t>
      </w:r>
      <w:r>
        <w:rPr>
          <w:rFonts w:hint="default" w:ascii="Times New Roman" w:hAnsi="Times New Roman" w:eastAsia="仿宋_GB2312" w:cs="Times New Roman"/>
          <w:color w:val="000000"/>
          <w:kern w:val="0"/>
          <w:sz w:val="32"/>
          <w:szCs w:val="32"/>
          <w:shd w:val="clear" w:fill="FFFFFF"/>
          <w:lang w:val="en-US" w:eastAsia="zh-CN" w:bidi="ar"/>
        </w:rPr>
        <w:t>”</w:t>
      </w:r>
      <w:r>
        <w:rPr>
          <w:rFonts w:hint="eastAsia" w:ascii="仿宋_GB2312" w:hAnsi="Times New Roman" w:eastAsia="仿宋_GB2312" w:cs="仿宋_GB2312"/>
          <w:color w:val="000000"/>
          <w:kern w:val="0"/>
          <w:sz w:val="32"/>
          <w:szCs w:val="32"/>
          <w:shd w:val="clear" w:fill="FFFFFF"/>
          <w:lang w:val="en-US" w:eastAsia="zh-CN" w:bidi="ar"/>
        </w:rPr>
        <w:t>打造的示范项目和重点项目</w:t>
      </w:r>
      <w:r>
        <w:rPr>
          <w:rFonts w:hint="eastAsia" w:ascii="仿宋_GB2312" w:hAnsi="Times New Roman" w:eastAsia="仿宋_GB2312" w:cs="仿宋_GB2312"/>
          <w:kern w:val="2"/>
          <w:sz w:val="32"/>
          <w:szCs w:val="32"/>
          <w:lang w:val="en-US" w:eastAsia="zh-CN" w:bidi="ar"/>
        </w:rPr>
        <w:t>要求，以及提升城市形象、促进文化旅游产业发展的需要。资金申报的依据包括城市建设项目相关的财政资金支持政策、市花街前期项目的成功经验及效益评估，以及对花街三期项目详细规划所涉及的工程建设、配套设施完善等方面所需资金的测算。</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资金管理办法明确规定了资金支持本项目的具体条件，如项目必须符合城市规划和产业发展方向，具有明确的建设目标和实施方案，且经过相关部门审核通过。支持方式主要采用财政拨款，按项目实施进度和相关规定进行资金拨付。</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资金分配遵循公平、公正、公开的原则，综合考虑项目各部分的工程量、优先级、预期效益等因素。同时根据项目的整体规划和进度安排，合理分配各阶段的资金需求，确保资金使用的高效性和合理性。</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（二）项目绩效目标。</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0"/>
          <w:sz w:val="32"/>
          <w:szCs w:val="32"/>
          <w:lang w:val="en-US" w:eastAsia="zh-CN" w:bidi="ar"/>
        </w:rPr>
        <w:t>花街打造三期项目，</w:t>
      </w:r>
      <w:r>
        <w:rPr>
          <w:rFonts w:hint="eastAsia" w:ascii="仿宋_GB2312" w:hAnsi="Times New Roman" w:eastAsia="仿宋_GB2312" w:cs="仿宋_GB2312"/>
          <w:kern w:val="2"/>
          <w:sz w:val="32"/>
          <w:szCs w:val="32"/>
          <w:lang w:val="en-US" w:eastAsia="zh-CN" w:bidi="ar"/>
        </w:rPr>
        <w:t>分立体艺术花墙和城市主干道重要节点景观提升两部分实施。一是完成包括银江水电站靠山侧边坡</w:t>
      </w:r>
      <w:r>
        <w:rPr>
          <w:rFonts w:hint="eastAsia" w:ascii="仿宋_GB2312" w:hAnsi="Times New Roman" w:eastAsia="仿宋_GB2312" w:cs="仿宋_GB2312"/>
          <w:kern w:val="0"/>
          <w:sz w:val="32"/>
          <w:szCs w:val="32"/>
          <w:lang w:val="en-US" w:eastAsia="zh-CN" w:bidi="ar"/>
        </w:rPr>
        <w:t>、攀枝花日报社旁围栏、路桥小区出口花池及恒大城对面边坡绿化等4个</w:t>
      </w:r>
      <w:r>
        <w:rPr>
          <w:rFonts w:hint="eastAsia" w:ascii="仿宋_GB2312" w:hAnsi="Times New Roman" w:eastAsia="仿宋_GB2312" w:cs="仿宋_GB2312"/>
          <w:kern w:val="2"/>
          <w:sz w:val="32"/>
          <w:szCs w:val="32"/>
          <w:lang w:val="en-US" w:eastAsia="zh-CN" w:bidi="ar"/>
        </w:rPr>
        <w:t>点位立体边坡绿化打造。其中恒大城对面边坡绿化项目作为我市重点示范项目；二是完成包括三线大道北段龙珠路口处和三线大道北段与机场路口交汇处、龙密路转盘绿地等3个点位城市主干道重要节点景观提升。</w:t>
      </w:r>
    </w:p>
    <w:p>
      <w:pPr>
        <w:pStyle w:val="37"/>
        <w:widowControl/>
        <w:spacing w:before="0" w:beforeAutospacing="0" w:after="0" w:afterAutospacing="0" w:line="580" w:lineRule="exact"/>
        <w:ind w:left="0" w:right="0" w:firstLine="640"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rPr>
        <w:t>2.</w:t>
      </w:r>
      <w:r>
        <w:rPr>
          <w:rFonts w:hint="eastAsia" w:ascii="仿宋_GB2312" w:hAnsi="Times New Roman" w:eastAsia="仿宋_GB2312" w:cs="仿宋_GB2312"/>
          <w:kern w:val="0"/>
          <w:sz w:val="32"/>
          <w:szCs w:val="32"/>
        </w:rPr>
        <w:t>银江水电站靠山侧边坡、攀枝花日报社旁围栏、路桥小区出口花池及恒大城对面边坡绿化，累计栽植炮仗花</w:t>
      </w:r>
      <w:r>
        <w:rPr>
          <w:rFonts w:hint="default" w:ascii="Times New Roman" w:hAnsi="Times New Roman" w:eastAsia="仿宋_GB2312" w:cs="Times New Roman"/>
          <w:kern w:val="0"/>
          <w:sz w:val="32"/>
          <w:szCs w:val="32"/>
        </w:rPr>
        <w:t>120</w:t>
      </w:r>
      <w:r>
        <w:rPr>
          <w:rFonts w:hint="eastAsia" w:ascii="仿宋_GB2312" w:hAnsi="Times New Roman" w:eastAsia="仿宋_GB2312" w:cs="仿宋_GB2312"/>
          <w:kern w:val="0"/>
          <w:sz w:val="32"/>
          <w:szCs w:val="32"/>
        </w:rPr>
        <w:t>株、五爪金龙</w:t>
      </w:r>
      <w:r>
        <w:rPr>
          <w:rFonts w:hint="default" w:ascii="Times New Roman" w:hAnsi="Times New Roman" w:eastAsia="仿宋_GB2312" w:cs="Times New Roman"/>
          <w:kern w:val="0"/>
          <w:sz w:val="32"/>
          <w:szCs w:val="32"/>
        </w:rPr>
        <w:t>540</w:t>
      </w:r>
      <w:r>
        <w:rPr>
          <w:rFonts w:hint="eastAsia" w:ascii="仿宋_GB2312" w:hAnsi="Times New Roman" w:eastAsia="仿宋_GB2312" w:cs="仿宋_GB2312"/>
          <w:kern w:val="0"/>
          <w:sz w:val="32"/>
          <w:szCs w:val="32"/>
        </w:rPr>
        <w:t>株、多色三角梅</w:t>
      </w:r>
      <w:r>
        <w:rPr>
          <w:rFonts w:hint="default" w:ascii="Times New Roman" w:hAnsi="Times New Roman" w:eastAsia="仿宋_GB2312" w:cs="Times New Roman"/>
          <w:kern w:val="0"/>
          <w:sz w:val="32"/>
          <w:szCs w:val="32"/>
        </w:rPr>
        <w:t>300</w:t>
      </w:r>
      <w:r>
        <w:rPr>
          <w:rFonts w:hint="eastAsia" w:ascii="仿宋_GB2312" w:hAnsi="Times New Roman" w:eastAsia="仿宋_GB2312" w:cs="仿宋_GB2312"/>
          <w:kern w:val="0"/>
          <w:sz w:val="32"/>
          <w:szCs w:val="32"/>
        </w:rPr>
        <w:t>株，清理挡墙格构内杂草</w:t>
      </w:r>
      <w:r>
        <w:rPr>
          <w:rFonts w:hint="default" w:ascii="Times New Roman" w:hAnsi="Times New Roman" w:eastAsia="仿宋_GB2312" w:cs="Times New Roman"/>
          <w:kern w:val="0"/>
          <w:sz w:val="32"/>
          <w:szCs w:val="32"/>
        </w:rPr>
        <w:t>5000</w:t>
      </w:r>
      <w:r>
        <w:rPr>
          <w:rFonts w:hint="eastAsia" w:ascii="仿宋_GB2312" w:hAnsi="Times New Roman" w:eastAsia="仿宋_GB2312" w:cs="仿宋_GB2312"/>
          <w:kern w:val="0"/>
          <w:sz w:val="32"/>
          <w:szCs w:val="32"/>
        </w:rPr>
        <w:t>平方米，更换种植土</w:t>
      </w:r>
      <w:r>
        <w:rPr>
          <w:rFonts w:hint="default" w:ascii="Times New Roman" w:hAnsi="Times New Roman" w:eastAsia="仿宋_GB2312" w:cs="Times New Roman"/>
          <w:kern w:val="0"/>
          <w:sz w:val="32"/>
          <w:szCs w:val="32"/>
        </w:rPr>
        <w:t>1000</w:t>
      </w:r>
      <w:r>
        <w:rPr>
          <w:rFonts w:hint="eastAsia" w:ascii="仿宋_GB2312" w:hAnsi="Times New Roman" w:eastAsia="仿宋_GB2312" w:cs="仿宋_GB2312"/>
          <w:kern w:val="0"/>
          <w:sz w:val="32"/>
          <w:szCs w:val="32"/>
        </w:rPr>
        <w:t>平方米，安装水管</w:t>
      </w:r>
      <w:r>
        <w:rPr>
          <w:rFonts w:hint="default" w:ascii="Times New Roman" w:hAnsi="Times New Roman" w:eastAsia="仿宋_GB2312" w:cs="Times New Roman"/>
          <w:kern w:val="0"/>
          <w:sz w:val="32"/>
          <w:szCs w:val="32"/>
        </w:rPr>
        <w:t>1105</w:t>
      </w:r>
      <w:r>
        <w:rPr>
          <w:rFonts w:hint="eastAsia" w:ascii="仿宋_GB2312" w:hAnsi="Times New Roman" w:eastAsia="仿宋_GB2312" w:cs="仿宋_GB2312"/>
          <w:kern w:val="0"/>
          <w:sz w:val="32"/>
          <w:szCs w:val="32"/>
        </w:rPr>
        <w:t>米。三线大道北段龙珠路口处和三线大道北段与机场路口交汇处、龙密路转盘绿地，共摆放铝合金花箱</w:t>
      </w:r>
      <w:r>
        <w:rPr>
          <w:rFonts w:hint="default" w:ascii="Times New Roman" w:hAnsi="Times New Roman" w:eastAsia="仿宋_GB2312" w:cs="Times New Roman"/>
          <w:kern w:val="0"/>
          <w:sz w:val="32"/>
          <w:szCs w:val="32"/>
        </w:rPr>
        <w:t>112</w:t>
      </w:r>
      <w:r>
        <w:rPr>
          <w:rFonts w:hint="eastAsia" w:ascii="仿宋_GB2312" w:hAnsi="Times New Roman" w:eastAsia="仿宋_GB2312" w:cs="仿宋_GB2312"/>
          <w:kern w:val="0"/>
          <w:sz w:val="32"/>
          <w:szCs w:val="32"/>
        </w:rPr>
        <w:t>个、栽植三角梅</w:t>
      </w:r>
      <w:r>
        <w:rPr>
          <w:rFonts w:hint="default" w:ascii="Times New Roman" w:hAnsi="Times New Roman" w:eastAsia="仿宋_GB2312" w:cs="Times New Roman"/>
          <w:kern w:val="0"/>
          <w:sz w:val="32"/>
          <w:szCs w:val="32"/>
        </w:rPr>
        <w:t>1244</w:t>
      </w:r>
      <w:r>
        <w:rPr>
          <w:rFonts w:hint="eastAsia" w:ascii="仿宋_GB2312" w:hAnsi="Times New Roman" w:eastAsia="仿宋_GB2312" w:cs="仿宋_GB2312"/>
          <w:kern w:val="0"/>
          <w:sz w:val="32"/>
          <w:szCs w:val="32"/>
        </w:rPr>
        <w:t>株，摆放柱形三角梅</w:t>
      </w:r>
      <w:r>
        <w:rPr>
          <w:rFonts w:hint="default" w:ascii="Times New Roman" w:hAnsi="Times New Roman" w:eastAsia="仿宋_GB2312" w:cs="Times New Roman"/>
          <w:kern w:val="0"/>
          <w:sz w:val="32"/>
          <w:szCs w:val="32"/>
        </w:rPr>
        <w:t>9</w:t>
      </w:r>
      <w:r>
        <w:rPr>
          <w:rFonts w:hint="eastAsia" w:ascii="仿宋_GB2312" w:hAnsi="Times New Roman" w:eastAsia="仿宋_GB2312" w:cs="仿宋_GB2312"/>
          <w:kern w:val="0"/>
          <w:sz w:val="32"/>
          <w:szCs w:val="32"/>
        </w:rPr>
        <w:t>株、造型三角梅</w:t>
      </w:r>
      <w:r>
        <w:rPr>
          <w:rFonts w:hint="default" w:ascii="Times New Roman" w:hAnsi="Times New Roman" w:eastAsia="仿宋_GB2312" w:cs="Times New Roman"/>
          <w:kern w:val="0"/>
          <w:sz w:val="32"/>
          <w:szCs w:val="32"/>
        </w:rPr>
        <w:t>3</w:t>
      </w:r>
      <w:r>
        <w:rPr>
          <w:rFonts w:hint="eastAsia" w:ascii="仿宋_GB2312" w:hAnsi="Times New Roman" w:eastAsia="仿宋_GB2312" w:cs="仿宋_GB2312"/>
          <w:kern w:val="0"/>
          <w:sz w:val="32"/>
          <w:szCs w:val="32"/>
        </w:rPr>
        <w:t>株。</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经分析评价，申报内容与项目实际情况基本相符，项目规划合理，绩效目标具有可行性。从项目前期的调研、规划编制到资金测算等都进行了较为充分的准备和论证，符合攀枝花市城市发展需求和市场趋势，具备较好的实施基础和前景。</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（三）项目自评步骤及方法。</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次项目绩效自评采用以下组织实施步骤及方法：由项目主管部门牵头，相关业务科室、财务部门以及项目实施单位共同参与，明确各成员的职责分工。收集整理项目相关资料，包括项目立项文件、预算批复、招投标文件、合同、财务凭证、工程进度资料等。接着，按照绩效自评指标体系，对项目的投入、过程、产出和效益等方面进行逐项评价，通过数据分析、实地查看、问卷调查、访谈等方式获取评价依据。最后，汇总分析评价结果，撰写绩效自评报告，提出存在的问题和改进建议，并在一定范围内进行公示，接受监督。</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（一）项目资金申报及批复情况。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资金申报严格按照财政资金申报程序进行，由项目主管部门根据项目规划和预算需求编制资金申报材料，报送至财政部门审核。财政部门经过审核评估后，对项目资金予以批复，并根据项目实施进度和资金使用计划拨付资金。在实施过程中，根据实际需要对部分预算科目进行了适当调整，均履行了相关的审批手续，确保预算调整的合规性和合理性。</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（二）资金计划、到位及使用情况。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1.</w:t>
      </w:r>
      <w:r>
        <w:rPr>
          <w:rFonts w:hint="default" w:ascii="楷体_GB2312" w:hAnsi="Times New Roman" w:eastAsia="楷体_GB2312" w:cs="楷体_GB2312"/>
          <w:kern w:val="2"/>
          <w:sz w:val="32"/>
          <w:szCs w:val="32"/>
          <w:lang w:val="en-US" w:eastAsia="zh-CN" w:bidi="ar"/>
        </w:rPr>
        <w:t>资金计</w:t>
      </w:r>
      <w:r>
        <w:rPr>
          <w:rFonts w:hint="default" w:ascii="楷体_GB2312" w:hAnsi="Times New Roman" w:eastAsia="楷体_GB2312" w:cs="楷体_GB2312"/>
          <w:color w:val="000000"/>
          <w:kern w:val="2"/>
          <w:sz w:val="32"/>
          <w:szCs w:val="32"/>
          <w:lang w:val="en-US" w:eastAsia="zh-CN" w:bidi="ar"/>
        </w:rPr>
        <w:t>划。</w:t>
      </w:r>
      <w:r>
        <w:rPr>
          <w:rFonts w:hint="eastAsia" w:ascii="仿宋_GB2312" w:hAnsi="Times New Roman" w:eastAsia="仿宋_GB2312" w:cs="仿宋_GB2312"/>
          <w:color w:val="000000"/>
          <w:kern w:val="2"/>
          <w:sz w:val="32"/>
          <w:szCs w:val="32"/>
          <w:lang w:val="en-US" w:eastAsia="zh-CN" w:bidi="ar"/>
        </w:rPr>
        <w:t>花街三期打造项目资金计划总额为</w:t>
      </w:r>
      <w:r>
        <w:rPr>
          <w:rFonts w:hint="default" w:ascii="Times New Roman" w:hAnsi="Times New Roman" w:eastAsia="仿宋_GB2312" w:cs="Times New Roman"/>
          <w:color w:val="000000"/>
          <w:kern w:val="2"/>
          <w:sz w:val="32"/>
          <w:szCs w:val="32"/>
          <w:lang w:val="en-US" w:eastAsia="zh-CN" w:bidi="ar"/>
        </w:rPr>
        <w:t>40</w:t>
      </w:r>
      <w:r>
        <w:rPr>
          <w:rFonts w:hint="eastAsia" w:ascii="仿宋_GB2312" w:hAnsi="Times New Roman" w:eastAsia="仿宋_GB2312" w:cs="仿宋_GB2312"/>
          <w:color w:val="000000"/>
          <w:kern w:val="2"/>
          <w:sz w:val="32"/>
          <w:szCs w:val="32"/>
          <w:lang w:val="en-US" w:eastAsia="zh-CN" w:bidi="ar"/>
        </w:rPr>
        <w:t>万元，市级财政资金</w:t>
      </w:r>
      <w:r>
        <w:rPr>
          <w:rFonts w:hint="default" w:ascii="Times New Roman" w:hAnsi="Times New Roman" w:eastAsia="仿宋_GB2312" w:cs="Times New Roman"/>
          <w:color w:val="000000"/>
          <w:kern w:val="2"/>
          <w:sz w:val="32"/>
          <w:szCs w:val="32"/>
          <w:lang w:val="en-US" w:eastAsia="zh-CN" w:bidi="ar"/>
        </w:rPr>
        <w:t>40</w:t>
      </w:r>
      <w:r>
        <w:rPr>
          <w:rFonts w:hint="eastAsia" w:ascii="仿宋_GB2312" w:hAnsi="Times New Roman" w:eastAsia="仿宋_GB2312" w:cs="仿宋_GB2312"/>
          <w:color w:val="000000"/>
          <w:kern w:val="2"/>
          <w:sz w:val="32"/>
          <w:szCs w:val="32"/>
          <w:lang w:val="en-US" w:eastAsia="zh-CN" w:bidi="ar"/>
        </w:rPr>
        <w:t>万元，</w:t>
      </w:r>
      <w:r>
        <w:rPr>
          <w:rFonts w:hint="default" w:ascii="Times New Roman" w:hAnsi="Times New Roman" w:eastAsia="仿宋_GB2312" w:cs="Times New Roman"/>
          <w:color w:val="000000"/>
          <w:kern w:val="2"/>
          <w:sz w:val="32"/>
          <w:szCs w:val="32"/>
          <w:lang w:val="en-US" w:eastAsia="zh-CN" w:bidi="ar"/>
        </w:rPr>
        <w:t>2025</w:t>
      </w:r>
      <w:r>
        <w:rPr>
          <w:rFonts w:hint="eastAsia" w:ascii="仿宋_GB2312" w:hAnsi="Times New Roman" w:eastAsia="仿宋_GB2312" w:cs="仿宋_GB2312"/>
          <w:color w:val="000000"/>
          <w:kern w:val="2"/>
          <w:sz w:val="32"/>
          <w:szCs w:val="32"/>
          <w:lang w:val="en-US" w:eastAsia="zh-CN" w:bidi="ar"/>
        </w:rPr>
        <w:t>年市级财政资金计划为</w:t>
      </w:r>
      <w:r>
        <w:rPr>
          <w:rFonts w:hint="default" w:ascii="Times New Roman" w:hAnsi="Times New Roman" w:eastAsia="仿宋_GB2312" w:cs="Times New Roman"/>
          <w:color w:val="000000"/>
          <w:kern w:val="0"/>
          <w:sz w:val="32"/>
          <w:szCs w:val="32"/>
          <w:shd w:val="clear" w:fill="FFFFFF"/>
          <w:lang w:val="en-US" w:eastAsia="zh-CN" w:bidi="ar"/>
        </w:rPr>
        <w:t>20.32</w:t>
      </w:r>
      <w:r>
        <w:rPr>
          <w:rFonts w:hint="eastAsia" w:ascii="仿宋_GB2312" w:hAnsi="Times New Roman" w:eastAsia="仿宋_GB2312" w:cs="仿宋_GB2312"/>
          <w:color w:val="000000"/>
          <w:kern w:val="0"/>
          <w:sz w:val="32"/>
          <w:szCs w:val="32"/>
          <w:shd w:val="clear" w:fill="FFFFFF"/>
          <w:lang w:val="en-US" w:eastAsia="zh-CN" w:bidi="ar"/>
        </w:rPr>
        <w:t>万元</w:t>
      </w:r>
      <w:r>
        <w:rPr>
          <w:rFonts w:hint="eastAsia" w:ascii="仿宋_GB2312" w:hAnsi="Times New Roman" w:eastAsia="仿宋_GB2312" w:cs="仿宋_GB2312"/>
          <w:color w:val="000000"/>
          <w:kern w:val="2"/>
          <w:sz w:val="32"/>
          <w:szCs w:val="32"/>
          <w:lang w:val="en-US" w:eastAsia="zh-CN" w:bidi="ar"/>
        </w:rPr>
        <w:t>。按照项目进度和合同约定用于工程建设及其他合理支出，资金来源</w:t>
      </w:r>
      <w:r>
        <w:rPr>
          <w:rFonts w:hint="eastAsia" w:ascii="仿宋_GB2312" w:hAnsi="Times New Roman" w:eastAsia="仿宋_GB2312" w:cs="仿宋_GB2312"/>
          <w:kern w:val="2"/>
          <w:sz w:val="32"/>
          <w:szCs w:val="32"/>
          <w:lang w:val="en-US" w:eastAsia="zh-CN" w:bidi="ar"/>
        </w:rPr>
        <w:t>合法稳定，使用符合项目要求。</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color w:val="000000"/>
          <w:kern w:val="0"/>
          <w:sz w:val="32"/>
          <w:szCs w:val="32"/>
          <w:shd w:val="clear" w:fill="FFFFFF"/>
        </w:rPr>
      </w:pPr>
      <w:r>
        <w:rPr>
          <w:rFonts w:hint="default" w:ascii="Times New Roman" w:hAnsi="Times New Roman" w:eastAsia="楷体_GB2312" w:cs="Times New Roman"/>
          <w:kern w:val="2"/>
          <w:sz w:val="32"/>
          <w:szCs w:val="32"/>
          <w:lang w:val="en-US" w:eastAsia="zh-CN" w:bidi="ar"/>
        </w:rPr>
        <w:t>2.</w:t>
      </w:r>
      <w:r>
        <w:rPr>
          <w:rFonts w:hint="default" w:ascii="楷体_GB2312" w:hAnsi="Times New Roman" w:eastAsia="楷体_GB2312" w:cs="楷体_GB2312"/>
          <w:kern w:val="2"/>
          <w:sz w:val="32"/>
          <w:szCs w:val="32"/>
          <w:lang w:val="en-US" w:eastAsia="zh-CN" w:bidi="ar"/>
        </w:rPr>
        <w:t>资金到位。</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eastAsia" w:ascii="仿宋_GB2312" w:hAnsi="Times New Roman" w:eastAsia="仿宋_GB2312" w:cs="仿宋_GB2312"/>
          <w:color w:val="000000"/>
          <w:kern w:val="0"/>
          <w:sz w:val="32"/>
          <w:szCs w:val="32"/>
          <w:shd w:val="clear" w:fill="FFFFFF"/>
          <w:lang w:val="en-US" w:eastAsia="zh-CN" w:bidi="ar"/>
        </w:rPr>
        <w:t>项目年初预算资金总额为</w:t>
      </w:r>
      <w:r>
        <w:rPr>
          <w:rFonts w:hint="default" w:ascii="Times New Roman" w:hAnsi="Times New Roman" w:eastAsia="仿宋_GB2312" w:cs="Times New Roman"/>
          <w:color w:val="000000"/>
          <w:kern w:val="0"/>
          <w:sz w:val="32"/>
          <w:szCs w:val="32"/>
          <w:shd w:val="clear" w:fill="FFFFFF"/>
          <w:lang w:val="en-US" w:eastAsia="zh-CN" w:bidi="ar"/>
        </w:rPr>
        <w:t>0</w:t>
      </w:r>
      <w:r>
        <w:rPr>
          <w:rFonts w:hint="eastAsia" w:ascii="仿宋_GB2312" w:hAnsi="Times New Roman" w:eastAsia="仿宋_GB2312" w:cs="仿宋_GB2312"/>
          <w:color w:val="000000"/>
          <w:kern w:val="0"/>
          <w:sz w:val="32"/>
          <w:szCs w:val="32"/>
          <w:shd w:val="clear" w:fill="FFFFFF"/>
          <w:lang w:val="en-US" w:eastAsia="zh-CN" w:bidi="ar"/>
        </w:rPr>
        <w:t>元，调整后预算数为</w:t>
      </w:r>
      <w:r>
        <w:rPr>
          <w:rFonts w:hint="default" w:ascii="Times New Roman" w:hAnsi="Times New Roman" w:eastAsia="仿宋_GB2312" w:cs="Times New Roman"/>
          <w:color w:val="000000"/>
          <w:kern w:val="0"/>
          <w:sz w:val="32"/>
          <w:szCs w:val="32"/>
          <w:shd w:val="clear" w:fill="FFFFFF"/>
          <w:lang w:val="en-US" w:eastAsia="zh-CN" w:bidi="ar"/>
        </w:rPr>
        <w:t>20.32</w:t>
      </w:r>
      <w:r>
        <w:rPr>
          <w:rFonts w:hint="eastAsia" w:ascii="仿宋_GB2312" w:hAnsi="Times New Roman" w:eastAsia="仿宋_GB2312" w:cs="仿宋_GB2312"/>
          <w:color w:val="000000"/>
          <w:kern w:val="0"/>
          <w:sz w:val="32"/>
          <w:szCs w:val="32"/>
          <w:shd w:val="clear" w:fill="FFFFFF"/>
          <w:lang w:val="en-US" w:eastAsia="zh-CN" w:bidi="ar"/>
        </w:rPr>
        <w:t>万元，项目实际支出资金</w:t>
      </w:r>
      <w:r>
        <w:rPr>
          <w:rFonts w:hint="default" w:ascii="Times New Roman" w:hAnsi="Times New Roman" w:eastAsia="仿宋_GB2312" w:cs="Times New Roman"/>
          <w:color w:val="000000"/>
          <w:kern w:val="0"/>
          <w:sz w:val="32"/>
          <w:szCs w:val="32"/>
          <w:shd w:val="clear" w:fill="FFFFFF"/>
          <w:lang w:val="en-US" w:eastAsia="zh-CN" w:bidi="ar"/>
        </w:rPr>
        <w:t>20.32</w:t>
      </w:r>
      <w:r>
        <w:rPr>
          <w:rFonts w:hint="eastAsia" w:ascii="仿宋_GB2312" w:hAnsi="Times New Roman" w:eastAsia="仿宋_GB2312" w:cs="仿宋_GB2312"/>
          <w:color w:val="000000"/>
          <w:kern w:val="0"/>
          <w:sz w:val="32"/>
          <w:szCs w:val="32"/>
          <w:shd w:val="clear" w:fill="FFFFFF"/>
          <w:lang w:val="en-US" w:eastAsia="zh-CN" w:bidi="ar"/>
        </w:rPr>
        <w:t>万元，资金执行率为</w:t>
      </w:r>
      <w:r>
        <w:rPr>
          <w:rFonts w:hint="default" w:ascii="Times New Roman" w:hAnsi="Times New Roman" w:eastAsia="仿宋_GB2312" w:cs="Times New Roman"/>
          <w:color w:val="000000"/>
          <w:kern w:val="0"/>
          <w:sz w:val="32"/>
          <w:szCs w:val="32"/>
          <w:shd w:val="clear" w:fill="FFFFFF"/>
          <w:lang w:val="en-US" w:eastAsia="zh-CN" w:bidi="ar"/>
        </w:rPr>
        <w:t>100%</w:t>
      </w:r>
      <w:r>
        <w:rPr>
          <w:rFonts w:hint="eastAsia" w:ascii="仿宋_GB2312" w:hAnsi="Times New Roman" w:eastAsia="仿宋_GB2312" w:cs="仿宋_GB2312"/>
          <w:color w:val="000000"/>
          <w:kern w:val="0"/>
          <w:sz w:val="32"/>
          <w:szCs w:val="32"/>
          <w:shd w:val="clear" w:fill="FFFFFF"/>
          <w:lang w:val="en-US" w:eastAsia="zh-CN" w:bidi="ar"/>
        </w:rPr>
        <w:t>。</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w:t>
      </w:r>
      <w:r>
        <w:rPr>
          <w:rFonts w:hint="default" w:ascii="楷体_GB2312" w:hAnsi="Times New Roman" w:eastAsia="楷体_GB2312" w:cs="楷体_GB2312"/>
          <w:kern w:val="2"/>
          <w:sz w:val="32"/>
          <w:szCs w:val="32"/>
          <w:lang w:val="en-US" w:eastAsia="zh-CN" w:bidi="ar"/>
        </w:rPr>
        <w:t>资金使用。</w:t>
      </w:r>
      <w:r>
        <w:rPr>
          <w:rFonts w:hint="eastAsia" w:ascii="仿宋_GB2312" w:hAnsi="Times New Roman" w:eastAsia="仿宋_GB2312" w:cs="仿宋_GB2312"/>
          <w:kern w:val="2"/>
          <w:sz w:val="32"/>
          <w:szCs w:val="32"/>
          <w:lang w:val="en-US" w:eastAsia="zh-CN" w:bidi="ar"/>
        </w:rPr>
        <w:t>资金支付范围、支付标准、支付进度等均符合相关规定和预算要求，账务处理及时，会计核算规范，未发现违规使用资金的情况。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实施单位财务管理制度健全，制定了相应的财务管理办法和内部控制制度，明确了财务审批流程、资金使用规范等。在项目实施过程中，严格执行财务管理制度，账务处理及时准确，会计核算规范，能够按照项目单独核算，确保了资金使用的透明度和可追溯性，为项目的顺利实施提供了有力的财务保障。</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（一）项目组织架构及实施流程。</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2"/>
          <w:sz w:val="32"/>
          <w:szCs w:val="32"/>
          <w:lang w:val="en-US" w:eastAsia="zh-CN" w:bidi="ar"/>
        </w:rPr>
        <w:t>该项目设立了明确的组织架构，项目主管部门负责总体统筹协调，项目实施单位具体负责项目的工程建设等日常管理工作。项目实施流程规范，包括项目前期的规划与设计、招投标管理、合同签订、工程建设管理、质量监督、竣工验收等环节，各环节之间紧密衔接，确保项目按计划有序推进。</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（二）项目管理情况。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楷体_GB2312" w:cs="Times New Roman"/>
          <w:b/>
          <w:kern w:val="2"/>
          <w:sz w:val="32"/>
          <w:szCs w:val="32"/>
        </w:rPr>
      </w:pPr>
      <w:r>
        <w:rPr>
          <w:rFonts w:hint="eastAsia" w:ascii="仿宋_GB2312" w:hAnsi="Times New Roman" w:eastAsia="仿宋_GB2312" w:cs="仿宋_GB2312"/>
          <w:kern w:val="2"/>
          <w:sz w:val="32"/>
          <w:szCs w:val="32"/>
          <w:lang w:val="en-US" w:eastAsia="zh-CN" w:bidi="ar"/>
        </w:rPr>
        <w:t>该项目实施单位严格遵守相关法律法规及项目管理制度，在招投标过程中，严格按照《招标投标法》等相关规定，采用公开招标、邀请招标等方式，确保招标过程公开、公平、公正，择优选择施工单位。在政府采购方面，对于符合政府采购范围的货物和服务，严格执行政府采购程序，提高财政资金使用效益。同时，项目实施过程中的相关信息及时进行公示，接受社会公众监督，增强了项目透明度和公信力。</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楷体_GB2312" w:hAnsi="Times New Roman" w:eastAsia="楷体_GB2312" w:cs="楷体_GB2312"/>
          <w:b/>
          <w:kern w:val="2"/>
          <w:sz w:val="32"/>
          <w:szCs w:val="32"/>
          <w:lang w:val="en-US" w:eastAsia="zh-CN" w:bidi="ar"/>
        </w:rPr>
        <w:t>（三）项目监管情况。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仿宋_GB2312" w:hAnsi="Times New Roman" w:eastAsia="仿宋_GB2312" w:cs="仿宋_GB2312"/>
          <w:kern w:val="2"/>
          <w:sz w:val="32"/>
          <w:szCs w:val="32"/>
          <w:lang w:val="en-US" w:eastAsia="zh-CN" w:bidi="ar"/>
        </w:rPr>
        <w:t>项目主管部门为加强项目管理，采取了多种监管手段。对建设进度、质量、资金使用等情况进行实地检查，及时发现问题并督促整改。同时，通过建立项目管理信息系统，对项目实施过程中的各类数据进行实时监控和分析，实现对项目的动态管理。通过以上监管措施，有效保障了项目的顺利实施和资金安全。</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（一）项目完成情况。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一是完成立体绿化、边坡绿化。主要包括银江水电站靠山侧边坡、攀枝花日</w:t>
      </w:r>
      <w:r>
        <w:rPr>
          <w:rFonts w:hint="eastAsia" w:ascii="仿宋_GB2312" w:hAnsi="Times New Roman" w:eastAsia="仿宋_GB2312" w:cs="仿宋_GB2312"/>
          <w:color w:val="000000"/>
          <w:kern w:val="2"/>
          <w:sz w:val="32"/>
          <w:szCs w:val="32"/>
          <w:lang w:val="en-US" w:eastAsia="zh-CN" w:bidi="ar"/>
        </w:rPr>
        <w:t>报社旁围栏、路桥小区出口花池及恒大城对面边坡绿化等</w:t>
      </w:r>
      <w:r>
        <w:rPr>
          <w:rFonts w:hint="default" w:ascii="Times New Roman" w:hAnsi="Times New Roman" w:eastAsia="仿宋_GB2312" w:cs="Times New Roman"/>
          <w:color w:val="000000"/>
          <w:kern w:val="2"/>
          <w:sz w:val="32"/>
          <w:szCs w:val="32"/>
          <w:lang w:val="en-US" w:eastAsia="zh-CN" w:bidi="ar"/>
        </w:rPr>
        <w:t>4</w:t>
      </w:r>
      <w:r>
        <w:rPr>
          <w:rFonts w:hint="eastAsia" w:ascii="仿宋_GB2312" w:hAnsi="Times New Roman" w:eastAsia="仿宋_GB2312" w:cs="仿宋_GB2312"/>
          <w:color w:val="000000"/>
          <w:kern w:val="2"/>
          <w:sz w:val="32"/>
          <w:szCs w:val="32"/>
          <w:lang w:val="en-US" w:eastAsia="zh-CN" w:bidi="ar"/>
        </w:rPr>
        <w:t>个点位，已于</w:t>
      </w:r>
      <w:r>
        <w:rPr>
          <w:rFonts w:hint="default" w:ascii="Times New Roman" w:hAnsi="Times New Roman" w:eastAsia="仿宋_GB2312" w:cs="Times New Roman"/>
          <w:color w:val="000000"/>
          <w:kern w:val="2"/>
          <w:sz w:val="32"/>
          <w:szCs w:val="32"/>
          <w:lang w:val="en-US" w:eastAsia="zh-CN" w:bidi="ar"/>
        </w:rPr>
        <w:t>2023</w:t>
      </w:r>
      <w:r>
        <w:rPr>
          <w:rFonts w:hint="eastAsia" w:ascii="仿宋_GB2312" w:hAnsi="Times New Roman" w:eastAsia="仿宋_GB2312" w:cs="仿宋_GB2312"/>
          <w:color w:val="000000"/>
          <w:kern w:val="2"/>
          <w:sz w:val="32"/>
          <w:szCs w:val="32"/>
          <w:lang w:val="en-US" w:eastAsia="zh-CN" w:bidi="ar"/>
        </w:rPr>
        <w:t>年</w:t>
      </w:r>
      <w:r>
        <w:rPr>
          <w:rFonts w:hint="default" w:ascii="Times New Roman" w:hAnsi="Times New Roman" w:eastAsia="仿宋_GB2312" w:cs="Times New Roman"/>
          <w:color w:val="000000"/>
          <w:kern w:val="2"/>
          <w:sz w:val="32"/>
          <w:szCs w:val="32"/>
          <w:lang w:val="en-US" w:eastAsia="zh-CN" w:bidi="ar"/>
        </w:rPr>
        <w:t>9</w:t>
      </w:r>
      <w:r>
        <w:rPr>
          <w:rFonts w:hint="eastAsia" w:ascii="仿宋_GB2312" w:hAnsi="Times New Roman" w:eastAsia="仿宋_GB2312" w:cs="仿宋_GB2312"/>
          <w:color w:val="000000"/>
          <w:kern w:val="2"/>
          <w:sz w:val="32"/>
          <w:szCs w:val="32"/>
          <w:lang w:val="en-US" w:eastAsia="zh-CN" w:bidi="ar"/>
        </w:rPr>
        <w:t>月</w:t>
      </w:r>
      <w:r>
        <w:rPr>
          <w:rFonts w:hint="default" w:ascii="Times New Roman" w:hAnsi="Times New Roman" w:eastAsia="仿宋_GB2312" w:cs="Times New Roman"/>
          <w:color w:val="000000"/>
          <w:kern w:val="2"/>
          <w:sz w:val="32"/>
          <w:szCs w:val="32"/>
          <w:lang w:val="en-US" w:eastAsia="zh-CN" w:bidi="ar"/>
        </w:rPr>
        <w:t>28</w:t>
      </w:r>
      <w:r>
        <w:rPr>
          <w:rFonts w:hint="eastAsia" w:ascii="仿宋_GB2312" w:hAnsi="Times New Roman" w:eastAsia="仿宋_GB2312" w:cs="仿宋_GB2312"/>
          <w:color w:val="000000"/>
          <w:kern w:val="2"/>
          <w:sz w:val="32"/>
          <w:szCs w:val="32"/>
          <w:lang w:val="en-US" w:eastAsia="zh-CN" w:bidi="ar"/>
        </w:rPr>
        <w:t>日通过验收，养护期</w:t>
      </w:r>
      <w:r>
        <w:rPr>
          <w:rFonts w:hint="default" w:ascii="Times New Roman" w:hAnsi="Times New Roman" w:eastAsia="仿宋_GB2312" w:cs="Times New Roman"/>
          <w:color w:val="000000"/>
          <w:kern w:val="2"/>
          <w:sz w:val="32"/>
          <w:szCs w:val="32"/>
          <w:lang w:val="en-US" w:eastAsia="zh-CN" w:bidi="ar"/>
        </w:rPr>
        <w:t>6</w:t>
      </w:r>
      <w:r>
        <w:rPr>
          <w:rFonts w:hint="eastAsia" w:ascii="仿宋_GB2312" w:hAnsi="Times New Roman" w:eastAsia="仿宋_GB2312" w:cs="仿宋_GB2312"/>
          <w:color w:val="000000"/>
          <w:kern w:val="2"/>
          <w:sz w:val="32"/>
          <w:szCs w:val="32"/>
          <w:lang w:val="en-US" w:eastAsia="zh-CN" w:bidi="ar"/>
        </w:rPr>
        <w:t>个月。该项目累计栽植炮仗花</w:t>
      </w:r>
      <w:r>
        <w:rPr>
          <w:rFonts w:hint="default" w:ascii="Times New Roman" w:hAnsi="Times New Roman" w:eastAsia="仿宋_GB2312" w:cs="Times New Roman"/>
          <w:color w:val="000000"/>
          <w:kern w:val="2"/>
          <w:sz w:val="32"/>
          <w:szCs w:val="32"/>
          <w:lang w:val="en-US" w:eastAsia="zh-CN" w:bidi="ar"/>
        </w:rPr>
        <w:t>120</w:t>
      </w:r>
      <w:r>
        <w:rPr>
          <w:rFonts w:hint="eastAsia" w:ascii="仿宋_GB2312" w:hAnsi="Times New Roman" w:eastAsia="仿宋_GB2312" w:cs="仿宋_GB2312"/>
          <w:color w:val="000000"/>
          <w:kern w:val="2"/>
          <w:sz w:val="32"/>
          <w:szCs w:val="32"/>
          <w:lang w:val="en-US" w:eastAsia="zh-CN" w:bidi="ar"/>
        </w:rPr>
        <w:t>株、五爪金龙</w:t>
      </w:r>
      <w:r>
        <w:rPr>
          <w:rFonts w:hint="default" w:ascii="Times New Roman" w:hAnsi="Times New Roman" w:eastAsia="仿宋_GB2312" w:cs="Times New Roman"/>
          <w:color w:val="000000"/>
          <w:kern w:val="2"/>
          <w:sz w:val="32"/>
          <w:szCs w:val="32"/>
          <w:lang w:val="en-US" w:eastAsia="zh-CN" w:bidi="ar"/>
        </w:rPr>
        <w:t>540</w:t>
      </w:r>
      <w:r>
        <w:rPr>
          <w:rFonts w:hint="eastAsia" w:ascii="仿宋_GB2312" w:hAnsi="Times New Roman" w:eastAsia="仿宋_GB2312" w:cs="仿宋_GB2312"/>
          <w:color w:val="000000"/>
          <w:kern w:val="2"/>
          <w:sz w:val="32"/>
          <w:szCs w:val="32"/>
          <w:lang w:val="en-US" w:eastAsia="zh-CN" w:bidi="ar"/>
        </w:rPr>
        <w:t>株、多色三角梅</w:t>
      </w:r>
      <w:r>
        <w:rPr>
          <w:rFonts w:hint="default" w:ascii="Times New Roman" w:hAnsi="Times New Roman" w:eastAsia="仿宋_GB2312" w:cs="Times New Roman"/>
          <w:color w:val="000000"/>
          <w:kern w:val="2"/>
          <w:sz w:val="32"/>
          <w:szCs w:val="32"/>
          <w:lang w:val="en-US" w:eastAsia="zh-CN" w:bidi="ar"/>
        </w:rPr>
        <w:t>300</w:t>
      </w:r>
      <w:r>
        <w:rPr>
          <w:rFonts w:hint="eastAsia" w:ascii="仿宋_GB2312" w:hAnsi="Times New Roman" w:eastAsia="仿宋_GB2312" w:cs="仿宋_GB2312"/>
          <w:color w:val="000000"/>
          <w:kern w:val="2"/>
          <w:sz w:val="32"/>
          <w:szCs w:val="32"/>
          <w:lang w:val="en-US" w:eastAsia="zh-CN" w:bidi="ar"/>
        </w:rPr>
        <w:t>株，清理挡墙格构内杂草</w:t>
      </w:r>
      <w:r>
        <w:rPr>
          <w:rFonts w:hint="default" w:ascii="Times New Roman" w:hAnsi="Times New Roman" w:eastAsia="仿宋_GB2312" w:cs="Times New Roman"/>
          <w:color w:val="000000"/>
          <w:kern w:val="2"/>
          <w:sz w:val="32"/>
          <w:szCs w:val="32"/>
          <w:lang w:val="en-US" w:eastAsia="zh-CN" w:bidi="ar"/>
        </w:rPr>
        <w:t>5000</w:t>
      </w:r>
      <w:r>
        <w:rPr>
          <w:rFonts w:hint="eastAsia" w:ascii="仿宋_GB2312" w:hAnsi="Times New Roman" w:eastAsia="仿宋_GB2312" w:cs="仿宋_GB2312"/>
          <w:color w:val="000000"/>
          <w:kern w:val="2"/>
          <w:sz w:val="32"/>
          <w:szCs w:val="32"/>
          <w:lang w:val="en-US" w:eastAsia="zh-CN" w:bidi="ar"/>
        </w:rPr>
        <w:t>平方米，更换种植土</w:t>
      </w:r>
      <w:r>
        <w:rPr>
          <w:rFonts w:hint="default" w:ascii="Times New Roman" w:hAnsi="Times New Roman" w:eastAsia="仿宋_GB2312" w:cs="Times New Roman"/>
          <w:color w:val="000000"/>
          <w:kern w:val="2"/>
          <w:sz w:val="32"/>
          <w:szCs w:val="32"/>
          <w:lang w:val="en-US" w:eastAsia="zh-CN" w:bidi="ar"/>
        </w:rPr>
        <w:t>1000</w:t>
      </w:r>
      <w:r>
        <w:rPr>
          <w:rFonts w:hint="eastAsia" w:ascii="仿宋_GB2312" w:hAnsi="Times New Roman" w:eastAsia="仿宋_GB2312" w:cs="仿宋_GB2312"/>
          <w:color w:val="000000"/>
          <w:kern w:val="2"/>
          <w:sz w:val="32"/>
          <w:szCs w:val="32"/>
          <w:lang w:val="en-US" w:eastAsia="zh-CN" w:bidi="ar"/>
        </w:rPr>
        <w:t>平方米，安装水管</w:t>
      </w:r>
      <w:r>
        <w:rPr>
          <w:rFonts w:hint="default" w:ascii="Times New Roman" w:hAnsi="Times New Roman" w:eastAsia="仿宋_GB2312" w:cs="Times New Roman"/>
          <w:color w:val="000000"/>
          <w:kern w:val="2"/>
          <w:sz w:val="32"/>
          <w:szCs w:val="32"/>
          <w:lang w:val="en-US" w:eastAsia="zh-CN" w:bidi="ar"/>
        </w:rPr>
        <w:t>1105</w:t>
      </w:r>
      <w:r>
        <w:rPr>
          <w:rFonts w:hint="eastAsia" w:ascii="仿宋_GB2312" w:hAnsi="Times New Roman" w:eastAsia="仿宋_GB2312" w:cs="仿宋_GB2312"/>
          <w:color w:val="000000"/>
          <w:kern w:val="2"/>
          <w:sz w:val="32"/>
          <w:szCs w:val="32"/>
          <w:lang w:val="en-US" w:eastAsia="zh-CN" w:bidi="ar"/>
        </w:rPr>
        <w:t>米。二是完成城市主干道重要节点景观提升。主要包括三线大道北段龙珠路口处和三线大道北段与机场路口交汇处、龙密路转盘绿地等</w:t>
      </w:r>
      <w:r>
        <w:rPr>
          <w:rFonts w:hint="default" w:ascii="Times New Roman" w:hAnsi="Times New Roman" w:eastAsia="仿宋_GB2312" w:cs="Times New Roman"/>
          <w:color w:val="000000"/>
          <w:kern w:val="2"/>
          <w:sz w:val="32"/>
          <w:szCs w:val="32"/>
          <w:lang w:val="en-US" w:eastAsia="zh-CN" w:bidi="ar"/>
        </w:rPr>
        <w:t>3</w:t>
      </w:r>
      <w:r>
        <w:rPr>
          <w:rFonts w:hint="eastAsia" w:ascii="仿宋_GB2312" w:hAnsi="Times New Roman" w:eastAsia="仿宋_GB2312" w:cs="仿宋_GB2312"/>
          <w:color w:val="000000"/>
          <w:kern w:val="2"/>
          <w:sz w:val="32"/>
          <w:szCs w:val="32"/>
          <w:lang w:val="en-US" w:eastAsia="zh-CN" w:bidi="ar"/>
        </w:rPr>
        <w:t>个点位，该项目已于</w:t>
      </w:r>
      <w:r>
        <w:rPr>
          <w:rFonts w:hint="default" w:ascii="Times New Roman" w:hAnsi="Times New Roman" w:eastAsia="仿宋_GB2312" w:cs="Times New Roman"/>
          <w:color w:val="000000"/>
          <w:kern w:val="2"/>
          <w:sz w:val="32"/>
          <w:szCs w:val="32"/>
          <w:lang w:val="en-US" w:eastAsia="zh-CN" w:bidi="ar"/>
        </w:rPr>
        <w:t>2023</w:t>
      </w:r>
      <w:r>
        <w:rPr>
          <w:rFonts w:hint="eastAsia" w:ascii="仿宋_GB2312" w:hAnsi="Times New Roman" w:eastAsia="仿宋_GB2312" w:cs="仿宋_GB2312"/>
          <w:color w:val="000000"/>
          <w:kern w:val="2"/>
          <w:sz w:val="32"/>
          <w:szCs w:val="32"/>
          <w:lang w:val="en-US" w:eastAsia="zh-CN" w:bidi="ar"/>
        </w:rPr>
        <w:t>年</w:t>
      </w:r>
      <w:r>
        <w:rPr>
          <w:rFonts w:hint="default" w:ascii="Times New Roman" w:hAnsi="Times New Roman" w:eastAsia="仿宋_GB2312" w:cs="Times New Roman"/>
          <w:color w:val="000000"/>
          <w:kern w:val="2"/>
          <w:sz w:val="32"/>
          <w:szCs w:val="32"/>
          <w:lang w:val="en-US" w:eastAsia="zh-CN" w:bidi="ar"/>
        </w:rPr>
        <w:t>11</w:t>
      </w:r>
      <w:r>
        <w:rPr>
          <w:rFonts w:hint="eastAsia" w:ascii="仿宋_GB2312" w:hAnsi="Times New Roman" w:eastAsia="仿宋_GB2312" w:cs="仿宋_GB2312"/>
          <w:color w:val="000000"/>
          <w:kern w:val="2"/>
          <w:sz w:val="32"/>
          <w:szCs w:val="32"/>
          <w:lang w:val="en-US" w:eastAsia="zh-CN" w:bidi="ar"/>
        </w:rPr>
        <w:t>月</w:t>
      </w:r>
      <w:r>
        <w:rPr>
          <w:rFonts w:hint="default" w:ascii="Times New Roman" w:hAnsi="Times New Roman" w:eastAsia="仿宋_GB2312" w:cs="Times New Roman"/>
          <w:color w:val="000000"/>
          <w:kern w:val="2"/>
          <w:sz w:val="32"/>
          <w:szCs w:val="32"/>
          <w:lang w:val="en-US" w:eastAsia="zh-CN" w:bidi="ar"/>
        </w:rPr>
        <w:t>10</w:t>
      </w:r>
      <w:r>
        <w:rPr>
          <w:rFonts w:hint="eastAsia" w:ascii="仿宋_GB2312" w:hAnsi="Times New Roman" w:eastAsia="仿宋_GB2312" w:cs="仿宋_GB2312"/>
          <w:color w:val="000000"/>
          <w:kern w:val="2"/>
          <w:sz w:val="32"/>
          <w:szCs w:val="32"/>
          <w:lang w:val="en-US" w:eastAsia="zh-CN" w:bidi="ar"/>
        </w:rPr>
        <w:t>日完工，共摆放铝合金花箱</w:t>
      </w:r>
      <w:r>
        <w:rPr>
          <w:rFonts w:hint="default" w:ascii="Times New Roman" w:hAnsi="Times New Roman" w:eastAsia="仿宋_GB2312" w:cs="Times New Roman"/>
          <w:color w:val="000000"/>
          <w:kern w:val="2"/>
          <w:sz w:val="32"/>
          <w:szCs w:val="32"/>
          <w:lang w:val="en-US" w:eastAsia="zh-CN" w:bidi="ar"/>
        </w:rPr>
        <w:t>112</w:t>
      </w:r>
      <w:r>
        <w:rPr>
          <w:rFonts w:hint="eastAsia" w:ascii="仿宋_GB2312" w:hAnsi="Times New Roman" w:eastAsia="仿宋_GB2312" w:cs="仿宋_GB2312"/>
          <w:color w:val="000000"/>
          <w:kern w:val="2"/>
          <w:sz w:val="32"/>
          <w:szCs w:val="32"/>
          <w:lang w:val="en-US" w:eastAsia="zh-CN" w:bidi="ar"/>
        </w:rPr>
        <w:t>个、栽植三角梅</w:t>
      </w:r>
      <w:r>
        <w:rPr>
          <w:rFonts w:hint="default" w:ascii="Times New Roman" w:hAnsi="Times New Roman" w:eastAsia="仿宋_GB2312" w:cs="Times New Roman"/>
          <w:color w:val="000000"/>
          <w:kern w:val="2"/>
          <w:sz w:val="32"/>
          <w:szCs w:val="32"/>
          <w:lang w:val="en-US" w:eastAsia="zh-CN" w:bidi="ar"/>
        </w:rPr>
        <w:t>1244</w:t>
      </w:r>
      <w:r>
        <w:rPr>
          <w:rFonts w:hint="eastAsia" w:ascii="仿宋_GB2312" w:hAnsi="Times New Roman" w:eastAsia="仿宋_GB2312" w:cs="仿宋_GB2312"/>
          <w:kern w:val="2"/>
          <w:sz w:val="32"/>
          <w:szCs w:val="32"/>
          <w:lang w:val="en-US" w:eastAsia="zh-CN" w:bidi="ar"/>
        </w:rPr>
        <w:t>株，摆放柱形三角梅</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株、造型三角梅</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株。</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该项目实际完成投资</w:t>
      </w:r>
      <w:r>
        <w:rPr>
          <w:rFonts w:hint="default" w:ascii="Times New Roman" w:hAnsi="Times New Roman" w:eastAsia="仿宋_GB2312" w:cs="Times New Roman"/>
          <w:kern w:val="2"/>
          <w:sz w:val="32"/>
          <w:szCs w:val="32"/>
          <w:lang w:val="en-US" w:eastAsia="zh-CN" w:bidi="ar"/>
        </w:rPr>
        <w:t>37.71</w:t>
      </w:r>
      <w:r>
        <w:rPr>
          <w:rFonts w:hint="eastAsia" w:ascii="仿宋_GB2312" w:hAnsi="Times New Roman" w:eastAsia="仿宋_GB2312" w:cs="仿宋_GB2312"/>
          <w:kern w:val="2"/>
          <w:sz w:val="32"/>
          <w:szCs w:val="32"/>
          <w:lang w:val="en-US" w:eastAsia="zh-CN" w:bidi="ar"/>
        </w:rPr>
        <w:t>万元，较预算略有结余，主要由于在项目实施过程中通过优化设计方案和加强成本控制，节省了一部分工程费用，资金结余已按照相关规定进行处理。项目在实施过程中未出现违规记录，各项建设指标和任务基本按计划完成。</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（二）项目效益情况。</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经济效益：项目的实施带动了周边区域的商业发展，为地方经济发展注入了新的活力。</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社会效益：花街三期的建成提升了城市绿化形象和品质。</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生态效益：在项目规划和建设过程中，注重生态环境保护和可持续发展。通过合理的绿化设计和环保设施建设，改善了周边的生态环境质量。</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可持续效益：项目建立了完善的管理机制，促进其可持续发展。</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服务对象满意度：通过问卷调查等方式，对花街游客进行满意度调查，游客满意度达到</w:t>
      </w:r>
      <w:r>
        <w:rPr>
          <w:rFonts w:hint="default" w:ascii="Times New Roman" w:hAnsi="Times New Roman" w:eastAsia="仿宋_GB2312" w:cs="Times New Roman"/>
          <w:kern w:val="2"/>
          <w:sz w:val="32"/>
          <w:szCs w:val="32"/>
          <w:lang w:val="en-US" w:eastAsia="zh-CN" w:bidi="ar"/>
        </w:rPr>
        <w:t>95%</w:t>
      </w:r>
      <w:r>
        <w:rPr>
          <w:rFonts w:hint="eastAsia" w:ascii="仿宋_GB2312" w:hAnsi="Times New Roman" w:eastAsia="仿宋_GB2312" w:cs="仿宋_GB2312"/>
          <w:kern w:val="2"/>
          <w:sz w:val="32"/>
          <w:szCs w:val="32"/>
          <w:lang w:val="en-US" w:eastAsia="zh-CN" w:bidi="ar"/>
        </w:rPr>
        <w:t>，总体满意度较高。</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（一）评价结论。</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通过对攀枝花市花街三期打造项目专项预算项目支出绩效自评，综合考虑项目的投入、过程、产出和效益等方面情况，该项目绩效评价得分为</w:t>
      </w:r>
      <w:r>
        <w:rPr>
          <w:rFonts w:hint="default" w:ascii="Times New Roman" w:hAnsi="Times New Roman" w:eastAsia="仿宋_GB2312" w:cs="Times New Roman"/>
          <w:kern w:val="2"/>
          <w:sz w:val="32"/>
          <w:szCs w:val="32"/>
          <w:lang w:val="en-US" w:eastAsia="zh-CN" w:bidi="ar"/>
        </w:rPr>
        <w:t>96</w:t>
      </w:r>
      <w:r>
        <w:rPr>
          <w:rFonts w:hint="eastAsia" w:ascii="仿宋_GB2312" w:hAnsi="Times New Roman" w:eastAsia="仿宋_GB2312" w:cs="仿宋_GB2312"/>
          <w:kern w:val="2"/>
          <w:sz w:val="32"/>
          <w:szCs w:val="32"/>
          <w:lang w:val="en-US" w:eastAsia="zh-CN" w:bidi="ar"/>
        </w:rPr>
        <w:t>分（满分</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分），评价等级为优。项目的实施在城市建设、经济发展、社会民生等方面取得了显著成效，资金使用合理规范，项目管理较为科学有效，基本实现了项目预期的绩效目标。</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（二）存在的问题。</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项目绩效自评过程中发现，部分绩效指标的设定还较为笼统，缺乏细化和量化，在后续项目管理中不利于对项目实施效果的精准衡量和评估。</w:t>
      </w:r>
    </w:p>
    <w:p>
      <w:pPr>
        <w:keepNext w:val="0"/>
        <w:keepLines w:val="0"/>
        <w:widowControl w:val="0"/>
        <w:suppressLineNumbers w:val="0"/>
        <w:adjustRightInd w:val="0"/>
        <w:snapToGrid w:val="0"/>
        <w:spacing w:before="0" w:beforeAutospacing="0" w:after="0" w:afterAutospacing="0" w:line="580" w:lineRule="exact"/>
        <w:ind w:left="0" w:right="0" w:firstLine="642" w:firstLineChars="200"/>
        <w:jc w:val="both"/>
        <w:rPr>
          <w:rFonts w:hint="default" w:ascii="Times New Roman" w:hAnsi="Times New Roman" w:eastAsia="楷体_GB2312" w:cs="Times New Roman"/>
          <w:b/>
          <w:kern w:val="2"/>
          <w:sz w:val="32"/>
          <w:szCs w:val="32"/>
        </w:rPr>
      </w:pPr>
      <w:r>
        <w:rPr>
          <w:rFonts w:hint="default" w:ascii="楷体_GB2312" w:hAnsi="Times New Roman" w:eastAsia="楷体_GB2312" w:cs="楷体_GB2312"/>
          <w:b/>
          <w:kern w:val="2"/>
          <w:sz w:val="32"/>
          <w:szCs w:val="32"/>
          <w:lang w:val="en-US" w:eastAsia="zh-CN" w:bidi="ar"/>
        </w:rPr>
        <w:t>（三）相关建议。</w:t>
      </w:r>
    </w:p>
    <w:p>
      <w:pPr>
        <w:keepNext w:val="0"/>
        <w:keepLines w:val="0"/>
        <w:widowControl w:val="0"/>
        <w:suppressLineNumbers w:val="0"/>
        <w:adjustRightInd w:val="0"/>
        <w:snapToGrid w:val="0"/>
        <w:spacing w:before="0" w:beforeAutospacing="0" w:after="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进一步完善项目绩效指标体系，对各项绩效指标进行细化和量化，使其更具可操作性和可衡量性。</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p>
      <w:pPr>
        <w:pStyle w:val="15"/>
        <w:rPr>
          <w:rFonts w:hint="eastAsia" w:ascii="仿宋_GB2312" w:hAnsi="仿宋_GB2312" w:eastAsia="仿宋_GB2312" w:cs="仿宋_GB2312"/>
          <w:sz w:val="32"/>
          <w:szCs w:val="32"/>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spacing w:line="600" w:lineRule="exact"/>
        <w:jc w:val="center"/>
        <w:rPr>
          <w:rFonts w:hint="eastAsia" w:ascii="Times New Roman" w:hAnsi="Times New Roman" w:eastAsia="方正小标宋简体"/>
          <w:color w:val="auto"/>
          <w:kern w:val="2"/>
          <w:sz w:val="40"/>
          <w:szCs w:val="40"/>
          <w:lang w:val="en-US" w:eastAsia="zh-CN"/>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olor w:val="auto"/>
          <w:kern w:val="2"/>
          <w:sz w:val="40"/>
          <w:szCs w:val="40"/>
          <w:lang w:val="en-US" w:eastAsia="zh-CN"/>
        </w:rPr>
      </w:pPr>
    </w:p>
    <w:p>
      <w:pPr>
        <w:pStyle w:val="36"/>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方正小标宋简体"/>
          <w:color w:val="auto"/>
          <w:kern w:val="2"/>
          <w:sz w:val="40"/>
          <w:szCs w:val="40"/>
          <w:lang w:val="en-US" w:eastAsia="zh-CN"/>
        </w:rPr>
      </w:pPr>
      <w:r>
        <w:rPr>
          <w:rFonts w:hint="eastAsia" w:ascii="Times New Roman" w:hAnsi="Times New Roman" w:eastAsia="方正小标宋简体"/>
          <w:color w:val="auto"/>
          <w:kern w:val="2"/>
          <w:sz w:val="40"/>
          <w:szCs w:val="40"/>
          <w:lang w:val="en-US" w:eastAsia="zh-CN"/>
        </w:rPr>
        <w:t>专项预算项目支出绩效自评报告</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政务服务便民热线平台运行维护服务外包业务项目）</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（一）项目基本情况。</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攀枝花</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热线于</w:t>
      </w:r>
      <w:r>
        <w:rPr>
          <w:rFonts w:hint="default" w:ascii="Times New Roman" w:hAnsi="Times New Roman" w:eastAsia="方正仿宋_GBK" w:cs="Times New Roman"/>
          <w:kern w:val="2"/>
          <w:sz w:val="32"/>
          <w:szCs w:val="32"/>
          <w:lang w:val="en-US" w:eastAsia="zh-CN" w:bidi="ar"/>
        </w:rPr>
        <w:t>2012</w:t>
      </w:r>
      <w:r>
        <w:rPr>
          <w:rFonts w:hint="eastAsia" w:ascii="方正仿宋_GBK" w:hAnsi="方正仿宋_GBK" w:eastAsia="方正仿宋_GBK" w:cs="方正仿宋_GBK"/>
          <w:kern w:val="2"/>
          <w:sz w:val="32"/>
          <w:szCs w:val="32"/>
          <w:lang w:val="en-US" w:eastAsia="zh-CN" w:bidi="ar"/>
        </w:rPr>
        <w:t>年开通，前期由市委群众工作局管理运行，</w:t>
      </w:r>
      <w:r>
        <w:rPr>
          <w:rFonts w:hint="default" w:ascii="Times New Roman" w:hAnsi="Times New Roman" w:eastAsia="方正仿宋_GBK" w:cs="Times New Roman"/>
          <w:kern w:val="2"/>
          <w:sz w:val="32"/>
          <w:szCs w:val="32"/>
          <w:lang w:val="en-US" w:eastAsia="zh-CN" w:bidi="ar"/>
        </w:rPr>
        <w:t>2018</w:t>
      </w:r>
      <w:r>
        <w:rPr>
          <w:rFonts w:hint="eastAsia" w:ascii="方正仿宋_GBK" w:hAnsi="方正仿宋_GBK" w:eastAsia="方正仿宋_GBK" w:cs="方正仿宋_GBK"/>
          <w:kern w:val="2"/>
          <w:sz w:val="32"/>
          <w:szCs w:val="32"/>
          <w:lang w:val="en-US" w:eastAsia="zh-CN" w:bidi="ar"/>
        </w:rPr>
        <w:t>年机构改革时划转至市城管执法局，由攀枝花市</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群众服务中心负责日常运行管理</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公益一类事业单位</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热线平台日常运行维护采取政府购买服务方式，目前共有话务坐席员</w:t>
      </w:r>
      <w:r>
        <w:rPr>
          <w:rFonts w:hint="default" w:ascii="Times New Roman" w:hAnsi="Times New Roman" w:eastAsia="方正仿宋_GBK" w:cs="Times New Roman"/>
          <w:kern w:val="2"/>
          <w:sz w:val="32"/>
          <w:szCs w:val="32"/>
          <w:lang w:val="en-US" w:eastAsia="zh-CN" w:bidi="ar"/>
        </w:rPr>
        <w:t>60</w:t>
      </w:r>
      <w:r>
        <w:rPr>
          <w:rFonts w:hint="eastAsia" w:ascii="方正仿宋_GBK" w:hAnsi="方正仿宋_GBK" w:eastAsia="方正仿宋_GBK" w:cs="方正仿宋_GBK"/>
          <w:kern w:val="2"/>
          <w:sz w:val="32"/>
          <w:szCs w:val="32"/>
          <w:lang w:val="en-US" w:eastAsia="zh-CN" w:bidi="ar"/>
        </w:rPr>
        <w:t>名，实行</w:t>
      </w:r>
      <w:r>
        <w:rPr>
          <w:rFonts w:hint="default" w:ascii="Times New Roman" w:hAnsi="Times New Roman" w:eastAsia="方正仿宋_GBK" w:cs="Times New Roman"/>
          <w:kern w:val="2"/>
          <w:sz w:val="32"/>
          <w:szCs w:val="32"/>
          <w:lang w:val="en-US" w:eastAsia="zh-CN" w:bidi="ar"/>
        </w:rPr>
        <w:t>“7x24</w:t>
      </w:r>
      <w:r>
        <w:rPr>
          <w:rFonts w:hint="eastAsia" w:ascii="方正仿宋_GBK" w:hAnsi="方正仿宋_GBK" w:eastAsia="方正仿宋_GBK" w:cs="方正仿宋_GBK"/>
          <w:kern w:val="2"/>
          <w:sz w:val="32"/>
          <w:szCs w:val="32"/>
          <w:lang w:val="en-US" w:eastAsia="zh-CN" w:bidi="ar"/>
        </w:rPr>
        <w:t>小时</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全天候服务，</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热线还开通了法律、惠企、外语、少数民族语言等特色专席。</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2023</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日，市政府召开第</w:t>
      </w:r>
      <w:r>
        <w:rPr>
          <w:rFonts w:hint="default" w:ascii="Times New Roman" w:hAnsi="Times New Roman" w:eastAsia="方正仿宋_GBK" w:cs="Times New Roman"/>
          <w:kern w:val="2"/>
          <w:sz w:val="32"/>
          <w:szCs w:val="32"/>
          <w:lang w:val="en-US" w:eastAsia="zh-CN" w:bidi="ar"/>
        </w:rPr>
        <w:t>28</w:t>
      </w:r>
      <w:r>
        <w:rPr>
          <w:rFonts w:hint="eastAsia" w:ascii="方正仿宋_GBK" w:hAnsi="方正仿宋_GBK" w:eastAsia="方正仿宋_GBK" w:cs="方正仿宋_GBK"/>
          <w:kern w:val="2"/>
          <w:sz w:val="32"/>
          <w:szCs w:val="32"/>
          <w:lang w:val="en-US" w:eastAsia="zh-CN" w:bidi="ar"/>
        </w:rPr>
        <w:t>次常务会议，原则同意市城管执法局、市财政局、市大数据中心《关于开展</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政务服务便民热线平台运行维护服务外包业务政府采购工作的请示》，项目三年预算</w:t>
      </w:r>
      <w:r>
        <w:rPr>
          <w:rFonts w:hint="default" w:ascii="Times New Roman" w:hAnsi="Times New Roman" w:eastAsia="方正仿宋_GBK" w:cs="Times New Roman"/>
          <w:kern w:val="2"/>
          <w:sz w:val="32"/>
          <w:szCs w:val="32"/>
          <w:lang w:val="en-US" w:eastAsia="zh-CN" w:bidi="ar"/>
        </w:rPr>
        <w:t>930.74</w:t>
      </w:r>
      <w:r>
        <w:rPr>
          <w:rFonts w:hint="eastAsia" w:ascii="方正仿宋_GBK" w:hAnsi="方正仿宋_GBK" w:eastAsia="方正仿宋_GBK" w:cs="方正仿宋_GBK"/>
          <w:kern w:val="2"/>
          <w:sz w:val="32"/>
          <w:szCs w:val="32"/>
          <w:lang w:val="en-US" w:eastAsia="zh-CN" w:bidi="ar"/>
        </w:rPr>
        <w:t>万元</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实际以招投标结果为准</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。会议议定由市财政局先行安排</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运维经费政府采购预算，市</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群众服务中心办理该项目政府采购事宜。</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（二）实施目的及支持方向。</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高质量建设攀枝花市政民互动渠道，紧紧围绕</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建设一流服务热线，打造政务服务品牌</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和</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回应群众诉求、方便群众生活</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目标，对标先进地区的</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热线建设标准，不断提升热线综合服务能力。同时，按照四川省</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一网通办</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相关工作方案，围绕</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天府一号通</w:t>
      </w:r>
      <w:r>
        <w:rPr>
          <w:rFonts w:hint="default" w:ascii="Times New Roman" w:hAnsi="Times New Roman" w:eastAsia="方正仿宋_GBK" w:cs="Times New Roman"/>
          <w:kern w:val="0"/>
          <w:sz w:val="32"/>
          <w:szCs w:val="32"/>
          <w:lang w:val="en-US" w:eastAsia="zh-CN" w:bidi="ar"/>
        </w:rPr>
        <w:t>”</w:t>
      </w:r>
      <w:r>
        <w:rPr>
          <w:rFonts w:hint="eastAsia" w:ascii="方正仿宋_GBK" w:hAnsi="方正仿宋_GBK" w:eastAsia="方正仿宋_GBK" w:cs="方正仿宋_GBK"/>
          <w:kern w:val="0"/>
          <w:sz w:val="32"/>
          <w:szCs w:val="32"/>
          <w:lang w:val="en-US" w:eastAsia="zh-CN" w:bidi="ar"/>
        </w:rPr>
        <w:t>，建成集智能搜索、智能问答、智能导办、智能告知、智能预警、智能回访等功能于一体的智能客服体系。</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主要工作任务包括：一是市民群众和企业通过各级</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热线及手机</w:t>
      </w:r>
      <w:r>
        <w:rPr>
          <w:rFonts w:hint="default" w:ascii="Times New Roman" w:hAnsi="Times New Roman" w:eastAsia="方正仿宋_GBK" w:cs="Times New Roman"/>
          <w:kern w:val="0"/>
          <w:sz w:val="32"/>
          <w:szCs w:val="32"/>
          <w:lang w:val="en-US" w:eastAsia="zh-CN" w:bidi="ar"/>
        </w:rPr>
        <w:t>APP</w:t>
      </w:r>
      <w:r>
        <w:rPr>
          <w:rFonts w:hint="eastAsia" w:ascii="方正仿宋_GBK" w:hAnsi="方正仿宋_GBK" w:eastAsia="方正仿宋_GBK" w:cs="方正仿宋_GBK"/>
          <w:kern w:val="0"/>
          <w:sz w:val="32"/>
          <w:szCs w:val="32"/>
          <w:lang w:val="en-US" w:eastAsia="zh-CN" w:bidi="ar"/>
        </w:rPr>
        <w:t>、微信程序、互联网等网络渠道反映问题的受理、转办、督办、回访等工作，提供全年每天</w:t>
      </w:r>
      <w:r>
        <w:rPr>
          <w:rFonts w:hint="default" w:ascii="Times New Roman" w:hAnsi="Times New Roman" w:eastAsia="方正仿宋_GBK" w:cs="Times New Roman"/>
          <w:kern w:val="0"/>
          <w:sz w:val="32"/>
          <w:szCs w:val="32"/>
          <w:lang w:val="en-US" w:eastAsia="zh-CN" w:bidi="ar"/>
        </w:rPr>
        <w:t>24</w:t>
      </w:r>
      <w:r>
        <w:rPr>
          <w:rFonts w:hint="eastAsia" w:ascii="方正仿宋_GBK" w:hAnsi="方正仿宋_GBK" w:eastAsia="方正仿宋_GBK" w:cs="方正仿宋_GBK"/>
          <w:kern w:val="0"/>
          <w:sz w:val="32"/>
          <w:szCs w:val="32"/>
          <w:lang w:val="en-US" w:eastAsia="zh-CN" w:bidi="ar"/>
        </w:rPr>
        <w:t>小时不间断服务；二是热线受理人员的招聘、培训及综合考评管理等工作；三是热线大厅（含数字城管）日常运行及管理等工作；四是负责平台操作，同时负责各县（区）、钒钛高新区及相关市级单位业务协同及培训工作；五是实现热线业务流程及系统功能配置的个性化及可拓展化，且按现有攀枝花市</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平台系统架构及省</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热线技术接口标准，适时进行智能化升级及技术运维工作。</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项目资金包括：一是对现有</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平台软件功能开展更新并进行日常维护，保障热线基础业务运行正常；二是应发人员工资（含个人缴纳五险一金）、人员加班工资、项目管理费、企业承担的五险一金缴纳部分、重大疾病险、意外保险、工会团建费、培训费、办公费、招聘费、人员服装费以及《劳动法》和劳动部门规定应兑现各类工资和福利待遇。</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（三）预算安排及分配管理</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项目预算主要聚焦于人员工资支出和系统运维。经过详细的成本核算和市场调研，确定了合理的工资预算总额。在预算编制过程中，充分考虑了人员数量、岗位级别、市场薪酬水平等因素。</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项目资金分配原则及考虑因素：项目资金分配遵循公平、公正、合理的原则。对于人员工资分配，主要考虑岗位价值、工作绩效和市场行情等因素。岗位价值根据岗位的重要性、职责范围和对项目的贡献程度进行评估；工作绩效通过定期的绩效考核进行量化，考核指标包括工作任务完成情况、工作质量、团队协作等方面。</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按照实际情况进行支付。</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（四）项目绩效目标设置。</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项目整体、区域和具体绩效目标设置情况。</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本项目整体绩效目标为保障</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热线系统稳定运行与坐席服务优质高效，提升政务服务水平。区域目标覆盖全市，确保各辖区服务标准统一、响应及时。具体目标：系统可用率</w:t>
      </w:r>
      <w:r>
        <w:rPr>
          <w:rFonts w:hint="default" w:ascii="Times New Roman" w:hAnsi="Times New Roman" w:eastAsia="方正仿宋_GBK" w:cs="Times New Roman"/>
          <w:kern w:val="0"/>
          <w:sz w:val="32"/>
          <w:szCs w:val="32"/>
          <w:lang w:val="en-US" w:eastAsia="zh-CN" w:bidi="ar"/>
        </w:rPr>
        <w:t>≥99.9%</w:t>
      </w:r>
      <w:r>
        <w:rPr>
          <w:rFonts w:hint="eastAsia" w:ascii="方正仿宋_GBK" w:hAnsi="方正仿宋_GBK" w:eastAsia="方正仿宋_GBK" w:cs="方正仿宋_GBK"/>
          <w:kern w:val="0"/>
          <w:sz w:val="32"/>
          <w:szCs w:val="32"/>
          <w:lang w:val="en-US" w:eastAsia="zh-CN" w:bidi="ar"/>
        </w:rPr>
        <w:t>，电话接通率</w:t>
      </w:r>
      <w:r>
        <w:rPr>
          <w:rFonts w:hint="default" w:ascii="Times New Roman" w:hAnsi="Times New Roman" w:eastAsia="方正仿宋_GBK" w:cs="Times New Roman"/>
          <w:kern w:val="0"/>
          <w:sz w:val="32"/>
          <w:szCs w:val="32"/>
          <w:lang w:val="en-US" w:eastAsia="zh-CN" w:bidi="ar"/>
        </w:rPr>
        <w:t>≥95%</w:t>
      </w:r>
      <w:r>
        <w:rPr>
          <w:rFonts w:hint="eastAsia" w:ascii="方正仿宋_GBK" w:hAnsi="方正仿宋_GBK" w:eastAsia="方正仿宋_GBK" w:cs="方正仿宋_GBK"/>
          <w:kern w:val="0"/>
          <w:sz w:val="32"/>
          <w:szCs w:val="32"/>
          <w:lang w:val="en-US" w:eastAsia="zh-CN" w:bidi="ar"/>
        </w:rPr>
        <w:t>，工单按时办结率</w:t>
      </w:r>
      <w:r>
        <w:rPr>
          <w:rFonts w:hint="default" w:ascii="Times New Roman" w:hAnsi="Times New Roman" w:eastAsia="方正仿宋_GBK" w:cs="Times New Roman"/>
          <w:kern w:val="0"/>
          <w:sz w:val="32"/>
          <w:szCs w:val="32"/>
          <w:lang w:val="en-US" w:eastAsia="zh-CN" w:bidi="ar"/>
        </w:rPr>
        <w:t>≥95%</w:t>
      </w:r>
      <w:r>
        <w:rPr>
          <w:rFonts w:hint="eastAsia" w:ascii="方正仿宋_GBK" w:hAnsi="方正仿宋_GBK" w:eastAsia="方正仿宋_GBK" w:cs="方正仿宋_GBK"/>
          <w:kern w:val="0"/>
          <w:sz w:val="32"/>
          <w:szCs w:val="32"/>
          <w:lang w:val="en-US" w:eastAsia="zh-CN" w:bidi="ar"/>
        </w:rPr>
        <w:t>，群众满意度</w:t>
      </w:r>
      <w:r>
        <w:rPr>
          <w:rFonts w:hint="default" w:ascii="Times New Roman" w:hAnsi="Times New Roman" w:eastAsia="方正仿宋_GBK" w:cs="Times New Roman"/>
          <w:kern w:val="0"/>
          <w:sz w:val="32"/>
          <w:szCs w:val="32"/>
          <w:lang w:val="en-US" w:eastAsia="zh-CN" w:bidi="ar"/>
        </w:rPr>
        <w:t>≥97%</w:t>
      </w:r>
      <w:r>
        <w:rPr>
          <w:rFonts w:hint="eastAsia" w:ascii="方正仿宋_GBK" w:hAnsi="方正仿宋_GBK" w:eastAsia="方正仿宋_GBK" w:cs="方正仿宋_GBK"/>
          <w:kern w:val="0"/>
          <w:sz w:val="32"/>
          <w:szCs w:val="32"/>
          <w:lang w:val="en-US" w:eastAsia="zh-CN" w:bidi="ar"/>
        </w:rPr>
        <w:t>。</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项目自评工作开展情况。</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项目实施后，确定专人，定期对项目开展情况进行自评。自评内容主要包括具体的岗位设置、是否足额配置人员、业务运行是否满足要求等方面。通过查阅系统数据、月度考核等方式收集自评数据，并进行综合分析。根据自评结果，及时发现项目实施过程中存在的问题，并采取相应的改进措施，确保项目绩效目标的顺利实现。</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二、评价实施</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（一）评价目的</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通过项目绩效自评，全面了解攀枝花市</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政务服务便民热线平台运行维护服务外包项目的实施效果，检验项目绩效目标的实现程度。发现项目实施过程中存在的问题和不足，为后续项目的改进和优化提供依据。</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（二）预设问题及评价重点</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中心有完善的财务管理制度，项目严格执行相关财务管理制度，财务均及时处理、核算项目运行的各种支出，严格执行规范。</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资金使用方面：检查资金是否专款专用，是否存在截留、挪用等违规行为。评估资金使用的合理性和有效性，分析人工成本支出是否与项目实际需求相匹配。</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运行质量方面：是否能够按照四川省</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热线相关规定对接单、派单、办理、反馈、评价、归档全流程运行并保证质量要求。</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业务服务方面：是否能依据四川省关于</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热线的统一管理标准，快速准确的将案件通过系统派遣至相关处置部门。</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项目管理方面：考察项目管理制度是否健全，项目组织实施是否规范，项目人员配备是否合理。评估项目的风险管理能力，是否能够及时应对和解决项目实施过程中出现的各种问题。</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（三）评价选点。</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无。</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（四）评价方法</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通过月度考核进行评价。</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（五）评价组织</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由管理人员、财务人员、技术专家等，对项目的整体实施情况、资金的使用情况等的进行评估。</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三、绩效分析</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（一）通用指标绩效分析。</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项目决策。</w:t>
      </w:r>
      <w:r>
        <w:rPr>
          <w:rFonts w:hint="default" w:ascii="Times New Roman" w:hAnsi="Times New Roman" w:eastAsia="方正仿宋_GBK" w:cs="Times New Roman"/>
          <w:kern w:val="0"/>
          <w:sz w:val="32"/>
          <w:szCs w:val="32"/>
          <w:lang w:val="en-US" w:eastAsia="zh-CN" w:bidi="ar"/>
        </w:rPr>
        <w:t>2023</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月市城管执法局和市财政局联合向市政府上报《关于</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政务服务便民热线平台运行维护服务外包业务经费相关事宜的请示》（攀城管执〔</w:t>
      </w:r>
      <w:r>
        <w:rPr>
          <w:rFonts w:hint="default" w:ascii="Times New Roman" w:hAnsi="Times New Roman" w:eastAsia="方正仿宋_GBK" w:cs="Times New Roman"/>
          <w:kern w:val="0"/>
          <w:sz w:val="32"/>
          <w:szCs w:val="32"/>
          <w:lang w:val="en-US" w:eastAsia="zh-CN" w:bidi="ar"/>
        </w:rPr>
        <w:t>2023</w:t>
      </w:r>
      <w:r>
        <w:rPr>
          <w:rFonts w:hint="eastAsia" w:ascii="方正仿宋_GBK" w:hAnsi="方正仿宋_GBK"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10</w:t>
      </w:r>
      <w:r>
        <w:rPr>
          <w:rFonts w:hint="eastAsia" w:ascii="方正仿宋_GBK" w:hAnsi="方正仿宋_GBK" w:eastAsia="方正仿宋_GBK" w:cs="方正仿宋_GBK"/>
          <w:kern w:val="0"/>
          <w:sz w:val="32"/>
          <w:szCs w:val="32"/>
          <w:lang w:val="en-US" w:eastAsia="zh-CN" w:bidi="ar"/>
        </w:rPr>
        <w:t>号），并于</w:t>
      </w:r>
      <w:r>
        <w:rPr>
          <w:rFonts w:hint="default" w:ascii="Times New Roman" w:hAnsi="Times New Roman" w:eastAsia="方正仿宋_GBK" w:cs="Times New Roman"/>
          <w:kern w:val="0"/>
          <w:sz w:val="32"/>
          <w:szCs w:val="32"/>
          <w:lang w:val="en-US" w:eastAsia="zh-CN" w:bidi="ar"/>
        </w:rPr>
        <w:t>2023</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月得到市政府批复同意。</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项目管理。中心监督考评部负责监管项目，并合同要求开展定期考核。</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项目实施。《攀枝花市</w:t>
      </w:r>
      <w:r>
        <w:rPr>
          <w:rFonts w:hint="default" w:ascii="Times New Roman" w:hAnsi="Times New Roman" w:eastAsia="方正仿宋_GBK" w:cs="Times New Roman"/>
          <w:kern w:val="0"/>
          <w:sz w:val="32"/>
          <w:szCs w:val="32"/>
          <w:lang w:val="en-US" w:eastAsia="zh-CN" w:bidi="ar"/>
        </w:rPr>
        <w:t>12345</w:t>
      </w:r>
      <w:r>
        <w:rPr>
          <w:rFonts w:hint="eastAsia" w:ascii="方正仿宋_GBK" w:hAnsi="方正仿宋_GBK" w:eastAsia="方正仿宋_GBK" w:cs="方正仿宋_GBK"/>
          <w:kern w:val="0"/>
          <w:sz w:val="32"/>
          <w:szCs w:val="32"/>
          <w:lang w:val="en-US" w:eastAsia="zh-CN" w:bidi="ar"/>
        </w:rPr>
        <w:t>政务服务便民热线平台运行维护服务外包项目》中各项业务工作运行正常有序，涉及的四川东久科技股份有限公司和中国移动通信集团四川有限公司攀枝花分公司在各自负责管理的项目合同包中整体服务情况良好，基本达到招标文件及合同约定相关要求，在项目服务周期内，各项考核指标达到要求，通过项目履约验收。</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项目结果。能够满足热线</w:t>
      </w:r>
      <w:r>
        <w:rPr>
          <w:rFonts w:hint="default" w:ascii="Times New Roman" w:hAnsi="Times New Roman" w:eastAsia="方正仿宋_GBK" w:cs="Times New Roman"/>
          <w:kern w:val="0"/>
          <w:sz w:val="32"/>
          <w:szCs w:val="32"/>
          <w:lang w:val="en-US" w:eastAsia="zh-CN" w:bidi="ar"/>
        </w:rPr>
        <w:t>24</w:t>
      </w:r>
      <w:r>
        <w:rPr>
          <w:rFonts w:hint="eastAsia" w:ascii="方正仿宋_GBK" w:hAnsi="方正仿宋_GBK" w:eastAsia="方正仿宋_GBK" w:cs="方正仿宋_GBK"/>
          <w:kern w:val="0"/>
          <w:sz w:val="32"/>
          <w:szCs w:val="32"/>
          <w:lang w:val="en-US" w:eastAsia="zh-CN" w:bidi="ar"/>
        </w:rPr>
        <w:t>小时受理群众的各项诉求事项的受理、交办、转办和督办，实现咨询类信件</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个工作日内办结；建议求助投诉类信件</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个工作日内办结。营造良好的政务服务环境，全天候受理群众各类问题，成为政府部门联系人民群众的纽带、反映合理诉求的重要途径，为维护社会稳定、构建和谐社会提供保证。</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kern w:val="2"/>
          <w:sz w:val="32"/>
          <w:szCs w:val="32"/>
        </w:rPr>
      </w:pPr>
      <w:r>
        <w:rPr>
          <w:rFonts w:hint="eastAsia" w:ascii="方正楷体_GBK" w:hAnsi="方正楷体_GBK" w:eastAsia="方正楷体_GBK" w:cs="方正楷体_GBK"/>
          <w:b/>
          <w:kern w:val="2"/>
          <w:sz w:val="32"/>
          <w:szCs w:val="32"/>
          <w:lang w:val="en-US" w:eastAsia="zh-CN" w:bidi="ar"/>
        </w:rPr>
        <w:t>（二）专用指标绩效分析。</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产业发展。本项目属政务便民运转类，不直接对应产业扶持绩效。</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民生保障。区域均衡性上，全市各渠道统一接入、标准服务；对象精准性上，按诉求属性精准流转、工单及时转派；标准合理性上，执行</w:t>
      </w:r>
      <w:r>
        <w:rPr>
          <w:rFonts w:hint="default" w:ascii="Times New Roman" w:hAnsi="Times New Roman" w:eastAsia="方正仿宋_GBK" w:cs="Times New Roman"/>
          <w:kern w:val="0"/>
          <w:sz w:val="32"/>
          <w:szCs w:val="32"/>
          <w:lang w:val="en-US" w:eastAsia="zh-CN" w:bidi="ar"/>
        </w:rPr>
        <w:t>7×24</w:t>
      </w:r>
      <w:r>
        <w:rPr>
          <w:rFonts w:hint="eastAsia" w:ascii="方正仿宋_GBK" w:hAnsi="方正仿宋_GBK" w:eastAsia="方正仿宋_GBK" w:cs="方正仿宋_GBK"/>
          <w:kern w:val="0"/>
          <w:sz w:val="32"/>
          <w:szCs w:val="32"/>
          <w:lang w:val="en-US" w:eastAsia="zh-CN" w:bidi="ar"/>
        </w:rPr>
        <w:t>坐席、接通率</w:t>
      </w:r>
      <w:r>
        <w:rPr>
          <w:rFonts w:hint="default" w:ascii="Times New Roman" w:hAnsi="Times New Roman" w:eastAsia="方正仿宋_GBK" w:cs="Times New Roman"/>
          <w:kern w:val="0"/>
          <w:sz w:val="32"/>
          <w:szCs w:val="32"/>
          <w:lang w:val="en-US" w:eastAsia="zh-CN" w:bidi="ar"/>
        </w:rPr>
        <w:t>≥95%</w:t>
      </w:r>
      <w:r>
        <w:rPr>
          <w:rFonts w:hint="eastAsia" w:ascii="方正仿宋_GBK" w:hAnsi="方正仿宋_GBK" w:eastAsia="方正仿宋_GBK" w:cs="方正仿宋_GBK"/>
          <w:kern w:val="0"/>
          <w:sz w:val="32"/>
          <w:szCs w:val="32"/>
          <w:lang w:val="en-US" w:eastAsia="zh-CN" w:bidi="ar"/>
        </w:rPr>
        <w:t>、按时办结率</w:t>
      </w:r>
      <w:r>
        <w:rPr>
          <w:rFonts w:hint="default" w:ascii="Times New Roman" w:hAnsi="Times New Roman" w:eastAsia="方正仿宋_GBK" w:cs="Times New Roman"/>
          <w:kern w:val="0"/>
          <w:sz w:val="32"/>
          <w:szCs w:val="32"/>
          <w:lang w:val="en-US" w:eastAsia="zh-CN" w:bidi="ar"/>
        </w:rPr>
        <w:t>≥95%</w:t>
      </w:r>
      <w:r>
        <w:rPr>
          <w:rFonts w:hint="eastAsia" w:ascii="方正仿宋_GBK" w:hAnsi="方正仿宋_GBK" w:eastAsia="方正仿宋_GBK" w:cs="方正仿宋_GBK"/>
          <w:kern w:val="0"/>
          <w:sz w:val="32"/>
          <w:szCs w:val="32"/>
          <w:lang w:val="en-US" w:eastAsia="zh-CN" w:bidi="ar"/>
        </w:rPr>
        <w:t>、回访合规；群众满意度达</w:t>
      </w:r>
      <w:r>
        <w:rPr>
          <w:rFonts w:hint="default" w:ascii="Times New Roman" w:hAnsi="Times New Roman" w:eastAsia="方正仿宋_GBK" w:cs="Times New Roman"/>
          <w:kern w:val="0"/>
          <w:sz w:val="32"/>
          <w:szCs w:val="32"/>
          <w:lang w:val="en-US" w:eastAsia="zh-CN" w:bidi="ar"/>
        </w:rPr>
        <w:t>97%</w:t>
      </w:r>
      <w:r>
        <w:rPr>
          <w:rFonts w:hint="eastAsia" w:ascii="方正仿宋_GBK" w:hAnsi="方正仿宋_GBK" w:eastAsia="方正仿宋_GBK" w:cs="方正仿宋_GBK"/>
          <w:kern w:val="0"/>
          <w:sz w:val="32"/>
          <w:szCs w:val="32"/>
          <w:lang w:val="en-US" w:eastAsia="zh-CN" w:bidi="ar"/>
        </w:rPr>
        <w:t>以上。</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基础设施。系统验收合格，呼叫、转办、回访功能实现；日常巡检、故障响应与数据安全管护到位，保障持续稳定运行。</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行政运转。用途合规，经费用于系统运维与坐席外包；程序合规，政府购买服务、合同管理及按考核付费规范；标准合规，人员配置、排班时长、单价与服务规范符合预算和合同标准。</w:t>
      </w:r>
    </w:p>
    <w:p>
      <w:pPr>
        <w:keepNext w:val="0"/>
        <w:keepLines w:val="0"/>
        <w:widowControl w:val="0"/>
        <w:suppressLineNumbers w:val="0"/>
        <w:adjustRightInd w:val="0"/>
        <w:snapToGrid w:val="0"/>
        <w:spacing w:before="0" w:beforeAutospacing="0" w:after="0" w:afterAutospacing="0" w:line="600" w:lineRule="exact"/>
        <w:ind w:left="0" w:right="0" w:firstLine="642" w:firstLineChars="200"/>
        <w:jc w:val="both"/>
        <w:rPr>
          <w:rFonts w:hint="eastAsia" w:ascii="方正楷体_GBK" w:hAnsi="方正楷体_GBK" w:eastAsia="方正楷体_GBK" w:cs="方正楷体_GBK"/>
          <w:b/>
          <w:color w:val="000000"/>
          <w:kern w:val="0"/>
          <w:sz w:val="32"/>
          <w:szCs w:val="32"/>
          <w:shd w:val="clear" w:fill="FFFFFF"/>
        </w:rPr>
      </w:pPr>
      <w:r>
        <w:rPr>
          <w:rFonts w:hint="eastAsia" w:ascii="方正楷体_GBK" w:hAnsi="方正楷体_GBK" w:eastAsia="方正楷体_GBK" w:cs="方正楷体_GBK"/>
          <w:b/>
          <w:color w:val="000000"/>
          <w:kern w:val="0"/>
          <w:sz w:val="32"/>
          <w:szCs w:val="32"/>
          <w:shd w:val="clear" w:fill="FFFFFF"/>
          <w:lang w:val="en-US" w:eastAsia="zh-CN" w:bidi="ar"/>
        </w:rPr>
        <w:t>（三）</w:t>
      </w:r>
      <w:r>
        <w:rPr>
          <w:rFonts w:hint="eastAsia" w:ascii="方正楷体_GBK" w:hAnsi="方正楷体_GBK" w:eastAsia="方正楷体_GBK" w:cs="方正楷体_GBK"/>
          <w:b/>
          <w:kern w:val="2"/>
          <w:sz w:val="32"/>
          <w:szCs w:val="32"/>
          <w:lang w:val="en-US" w:eastAsia="zh-CN" w:bidi="ar"/>
        </w:rPr>
        <w:t>个性指标</w:t>
      </w:r>
      <w:r>
        <w:rPr>
          <w:rFonts w:hint="eastAsia" w:ascii="方正楷体_GBK" w:hAnsi="方正楷体_GBK" w:eastAsia="方正楷体_GBK" w:cs="方正楷体_GBK"/>
          <w:b/>
          <w:color w:val="000000"/>
          <w:kern w:val="0"/>
          <w:sz w:val="32"/>
          <w:szCs w:val="32"/>
          <w:shd w:val="clear" w:fill="FFFFFF"/>
          <w:lang w:val="en-US" w:eastAsia="zh-CN" w:bidi="ar"/>
        </w:rPr>
        <w:t>绩效分析。</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通过不断培训接听人员的业务能力，督促做好热线平台维护工作，提高业务服务水平。</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bidi="ar"/>
        </w:rPr>
        <w:t>四、评价结论</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《攀枝花市</w:t>
      </w:r>
      <w:r>
        <w:rPr>
          <w:rFonts w:hint="default" w:ascii="Times New Roman" w:hAnsi="Times New Roman" w:eastAsia="方正仿宋_GBK" w:cs="Times New Roman"/>
          <w:kern w:val="2"/>
          <w:sz w:val="32"/>
          <w:szCs w:val="32"/>
          <w:lang w:val="en-US" w:eastAsia="zh-CN" w:bidi="ar"/>
        </w:rPr>
        <w:t>12345</w:t>
      </w:r>
      <w:r>
        <w:rPr>
          <w:rFonts w:hint="eastAsia" w:ascii="方正仿宋_GBK" w:hAnsi="方正仿宋_GBK" w:eastAsia="方正仿宋_GBK" w:cs="方正仿宋_GBK"/>
          <w:kern w:val="2"/>
          <w:sz w:val="32"/>
          <w:szCs w:val="32"/>
          <w:lang w:val="en-US" w:eastAsia="zh-CN" w:bidi="ar"/>
        </w:rPr>
        <w:t>政务服务便民热线平台运行维护服务外包项目》中各项业务工作运行正常有序，涉及的</w:t>
      </w:r>
      <w:r>
        <w:rPr>
          <w:rFonts w:hint="eastAsia" w:ascii="方正仿宋_GBK" w:hAnsi="方正仿宋_GBK" w:eastAsia="方正仿宋_GBK" w:cs="方正仿宋_GBK"/>
          <w:kern w:val="0"/>
          <w:sz w:val="32"/>
          <w:szCs w:val="32"/>
          <w:lang w:val="en-US" w:eastAsia="zh-CN" w:bidi="ar"/>
        </w:rPr>
        <w:t>四川东久科技股份有限公司和中国移动通信集团四川有限公司攀枝花分公司</w:t>
      </w:r>
      <w:r>
        <w:rPr>
          <w:rFonts w:hint="eastAsia" w:ascii="方正仿宋_GBK" w:hAnsi="方正仿宋_GBK" w:eastAsia="方正仿宋_GBK" w:cs="方正仿宋_GBK"/>
          <w:kern w:val="2"/>
          <w:sz w:val="32"/>
          <w:szCs w:val="32"/>
          <w:lang w:val="en-US" w:eastAsia="zh-CN" w:bidi="ar"/>
        </w:rPr>
        <w:t>在各自负责管理的项目合同包中整体服务情况良好，基本达到招标文件及合同约定相关要求。</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bidi="ar"/>
        </w:rPr>
        <w:t>五、存在主要问题</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方正仿宋_GBK" w:hAnsi="方正仿宋_GBK" w:eastAsia="方正仿宋_GBK" w:cs="方正仿宋_GBK"/>
          <w:color w:val="000000"/>
          <w:kern w:val="2"/>
          <w:sz w:val="32"/>
          <w:szCs w:val="32"/>
          <w:lang w:val="en-US" w:eastAsia="zh-CN" w:bidi="ar"/>
        </w:rPr>
        <w:t>该项目目前已实施完毕，并通过了履约验收，但客观上存在话务人员服务能力不足、话务团队排班设置待优化、系统运行不流畅等。</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bidi="ar"/>
        </w:rPr>
        <w:t>六、改进建议</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无。</w:t>
      </w: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eastAsia" w:eastAsia="黑体"/>
          <w:lang w:val="en-US" w:eastAsia="zh-CN"/>
        </w:rPr>
      </w:pPr>
    </w:p>
    <w:p>
      <w:pPr>
        <w:pStyle w:val="8"/>
        <w:rPr>
          <w:rFonts w:hint="default" w:eastAsia="黑体"/>
          <w:lang w:val="en-US" w:eastAsia="zh-CN"/>
        </w:rPr>
      </w:pPr>
    </w:p>
    <w:p>
      <w:pPr>
        <w:pStyle w:val="36"/>
        <w:keepNext w:val="0"/>
        <w:keepLines w:val="0"/>
        <w:pageBreakBefore w:val="0"/>
        <w:widowControl w:val="0"/>
        <w:kinsoku/>
        <w:wordWrap/>
        <w:overflowPunct/>
        <w:topLinePunct w:val="0"/>
        <w:autoSpaceDE/>
        <w:autoSpaceDN/>
        <w:bidi w:val="0"/>
        <w:adjustRightInd/>
        <w:snapToGrid/>
        <w:spacing w:line="240" w:lineRule="auto"/>
        <w:ind w:left="640"/>
        <w:jc w:val="center"/>
        <w:textAlignment w:val="auto"/>
        <w:rPr>
          <w:rFonts w:hint="eastAsia" w:ascii="方正小标宋_GBK" w:hAnsi="宋体" w:eastAsia="方正小标宋_GBK"/>
          <w:color w:val="auto"/>
          <w:sz w:val="44"/>
          <w:szCs w:val="44"/>
          <w:lang w:val="en-US"/>
        </w:rPr>
      </w:pPr>
    </w:p>
    <w:p>
      <w:pPr>
        <w:pStyle w:val="36"/>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方正小标宋_GBK" w:hAnsi="宋体" w:eastAsia="方正小标宋_GBK"/>
          <w:color w:val="auto"/>
          <w:sz w:val="44"/>
          <w:szCs w:val="44"/>
        </w:rPr>
      </w:pPr>
      <w:r>
        <w:rPr>
          <w:rFonts w:hint="eastAsia" w:ascii="方正小标宋_GBK" w:hAnsi="宋体" w:eastAsia="方正小标宋_GBK"/>
          <w:color w:val="auto"/>
          <w:sz w:val="44"/>
          <w:szCs w:val="44"/>
        </w:rPr>
        <w:t>专项预算项目支出绩效自评报告</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eastAsia="仿宋_GB2312" w:cs="仿宋_GB2312"/>
          <w:kern w:val="0"/>
          <w:sz w:val="32"/>
          <w:szCs w:val="32"/>
        </w:rPr>
      </w:pPr>
      <w:r>
        <w:rPr>
          <w:rFonts w:hint="eastAsia" w:ascii="仿宋_GB2312" w:hAnsi="??" w:eastAsia="仿宋_GB2312" w:cs="仿宋_GB2312"/>
          <w:color w:val="000000"/>
          <w:kern w:val="2"/>
          <w:sz w:val="32"/>
          <w:szCs w:val="32"/>
          <w:lang w:val="en-US" w:eastAsia="zh-CN" w:bidi="ar"/>
        </w:rPr>
        <w:t>（</w:t>
      </w:r>
      <w:r>
        <w:rPr>
          <w:rFonts w:hint="eastAsia" w:ascii="仿宋_GB2312" w:hAnsi="??" w:eastAsia="仿宋_GB2312" w:cs="仿宋_GB2312"/>
          <w:color w:val="000000"/>
          <w:kern w:val="0"/>
          <w:sz w:val="32"/>
          <w:szCs w:val="32"/>
          <w:lang w:val="en-US" w:eastAsia="zh-CN" w:bidi="ar"/>
        </w:rPr>
        <w:t>攀枝花市第四轮数字城管信息采集（含数据在线更新）</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eastAsia="仿宋_GB2312" w:cs="仿宋_GB2312"/>
          <w:kern w:val="0"/>
          <w:sz w:val="32"/>
          <w:szCs w:val="32"/>
        </w:rPr>
      </w:pPr>
      <w:r>
        <w:rPr>
          <w:rFonts w:hint="eastAsia" w:ascii="仿宋_GB2312" w:hAnsi="??" w:eastAsia="仿宋_GB2312" w:cs="仿宋_GB2312"/>
          <w:color w:val="000000"/>
          <w:kern w:val="0"/>
          <w:sz w:val="32"/>
          <w:szCs w:val="32"/>
          <w:lang w:val="en-US" w:eastAsia="zh-CN" w:bidi="ar"/>
        </w:rPr>
        <w:t>及市级指挥平台业务服务外包项目</w:t>
      </w:r>
      <w:r>
        <w:rPr>
          <w:rFonts w:hint="eastAsia" w:ascii="仿宋_GB2312" w:hAnsi="??" w:eastAsia="仿宋_GB2312" w:cs="仿宋_GB2312"/>
          <w:color w:val="000000"/>
          <w:kern w:val="2"/>
          <w:sz w:val="32"/>
          <w:szCs w:val="32"/>
          <w:lang w:val="en-US" w:eastAsia="zh-CN" w:bidi="ar"/>
        </w:rPr>
        <w:t>）</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jc w:val="center"/>
        <w:textAlignment w:val="auto"/>
        <w:rPr>
          <w:rFonts w:hint="default" w:ascii="Times New Roman" w:hAnsi="Times New Roman" w:eastAsia="宋体" w:cs="Times New Roman"/>
          <w:kern w:val="2"/>
          <w:sz w:val="32"/>
          <w:szCs w:val="32"/>
        </w:rPr>
      </w:pPr>
      <w:r>
        <w:rPr>
          <w:rFonts w:hint="default" w:ascii="Times New Roman" w:hAnsi="Times New Roman" w:eastAsia="宋体" w:cs="Times New Roman"/>
          <w:color w:val="000000"/>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楷体_GB2312" w:cs="Times New Roman"/>
          <w:b/>
          <w:kern w:val="2"/>
          <w:sz w:val="32"/>
          <w:szCs w:val="32"/>
        </w:rPr>
      </w:pPr>
      <w:r>
        <w:rPr>
          <w:rFonts w:hint="eastAsia" w:ascii="楷体_GB2312" w:hAnsi="Times New Roman" w:eastAsia="楷体_GB2312" w:cs="楷体_GB2312"/>
          <w:b/>
          <w:kern w:val="2"/>
          <w:sz w:val="32"/>
          <w:szCs w:val="32"/>
          <w:lang w:val="en-US" w:eastAsia="zh-CN" w:bidi="ar"/>
        </w:rPr>
        <w:t>（一）</w:t>
      </w:r>
      <w:r>
        <w:rPr>
          <w:rFonts w:hint="default" w:ascii="楷体_GB2312" w:hAnsi="Times New Roman" w:eastAsia="楷体_GB2312" w:cs="楷体_GB2312"/>
          <w:b/>
          <w:kern w:val="2"/>
          <w:sz w:val="32"/>
          <w:szCs w:val="32"/>
          <w:lang w:val="en-US" w:eastAsia="zh-CN" w:bidi="ar"/>
        </w:rPr>
        <w:t>项目基本情况。</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按照《关于申报数字化城管系统建设试点城市有关事项的通知》（川城乡治办[2011]110号）要求，全省各市（州）踊跃申报，积极争取列入试点城市范围。根据有关专家对各地申报材料的评估意见，省治理办综合考虑各地完成试点任务的基本条件，拟将成都、自贡、攀枝花、泸州、德阳、广元、遂宁、宜宾、达州、资阳、凉山州西昌市11个城市列为全省数字化城市管理系统建设试点城市。攀枝花市数字化城市管理信息系统2012年开始系统建设，2013年7月，通过省专家组初验，2014年5月，通过省专家组系统验收，2014年5月，通过省专家组系统验收。</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根据2013年市政府第22次常务会议精神，我市数字化城市管理（以下简称数字城管）信息采集等主要业务工作采用服务外包的形式，通过政府采购买服务的方式运行。</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2020年市城管执法局下属事业单位市数字化城市联动指挥中心通根据《攀枝花市城市管理行政执法局 攀枝花市财政局关于开展新一轮信息采集等业务工作相关事宜的请示》（攀城管执〔2020〕62号）文件开展此项目，文件明确“本轮招标项目费用总计1738.8万元，按照市、区两级财政各50%分摊的原则，其中市本级财政承担434.7万元/年，区、县共承担434.7万元/年”。</w:t>
      </w:r>
      <w:r>
        <w:rPr>
          <w:rFonts w:hint="eastAsia" w:ascii="仿宋_GB2312" w:hAnsi="Times New Roman" w:eastAsia="仿宋_GB2312" w:cs="仿宋_GB2312"/>
          <w:kern w:val="0"/>
          <w:sz w:val="32"/>
          <w:szCs w:val="32"/>
          <w:lang w:val="en-US" w:eastAsia="zh-CN" w:bidi="ar"/>
        </w:rPr>
        <w:t>项目中标金额为1650.8万元（市、县区两级财政各占50%），项目服务周期为2年（2021年至2022年）。现合同期已满，2023年1月完成了该项目的履约验收工作。</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2"/>
          <w:sz w:val="32"/>
          <w:szCs w:val="32"/>
          <w:lang w:val="en-US" w:eastAsia="zh-CN" w:bidi="ar"/>
        </w:rPr>
        <w:t>攀枝花市第四轮数字城管信息采集（含数据在线更新）及市级指挥平台业务服务外包项目</w:t>
      </w:r>
      <w:r>
        <w:rPr>
          <w:rFonts w:hint="eastAsia" w:ascii="仿宋_GB2312" w:hAnsi="Times New Roman" w:eastAsia="仿宋_GB2312" w:cs="仿宋_GB2312"/>
          <w:kern w:val="0"/>
          <w:sz w:val="32"/>
          <w:szCs w:val="32"/>
          <w:lang w:val="en-US" w:eastAsia="zh-CN" w:bidi="ar"/>
        </w:rPr>
        <w:t>包括：信息采集服务外包项目，要求外包单位组建一支不少于116人的信息采集员队伍，对全市数字城管覆盖范围区域内的事件动态问题及部件完好、变更信息限时采集；对热线投诉、视频监控等途径反馈的问题进行核实；对政府关注的特定城市管理内容提供专项普查；攀枝花市数字城管市级平台业务服务外包项目，要求外包单位组建一支不少于45人的队伍，依据数字城管及四川省关于12345热线的统一管理标准，经过不同渠道收集到的各类问题通过数字城管系统派遣至相关处置部门，从而保证问题得到快速有效解决。</w:t>
      </w:r>
    </w:p>
    <w:p>
      <w:pPr>
        <w:keepNext w:val="0"/>
        <w:keepLines w:val="0"/>
        <w:widowControl w:val="0"/>
        <w:numPr>
          <w:ilvl w:val="0"/>
          <w:numId w:val="0"/>
        </w:numPr>
        <w:suppressLineNumbers w:val="0"/>
        <w:spacing w:before="0" w:beforeAutospacing="0" w:after="0" w:afterAutospacing="0"/>
        <w:ind w:leftChars="200" w:right="0" w:rightChars="0"/>
        <w:jc w:val="left"/>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（二）实施目的及支持方向。</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实施的主要目的是提升城市管理的精细化、智能化水平，及时、准确地掌握城市管理中的各类问题和动态信息，整合城市管理资源，提高城市管理水平。通过建立的数字城管信息采集，实现城市管理问题的快速发现、及时处理和有效监督，提高城市管理的效率和质量，改善城市环境和居民生活质量。</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主要工作任务包括：一是组建专业的信息采集队伍，通过信息采集设备，对全市数字城管覆盖范围区域内的事件动态问题及部件完好、变更信息限时采集，对热线投诉、视频监控等途径反馈的问题进行核实，对政府关注的特定城市管理内容提供专项普查；二是组建一支坐席队伍，依据数字城管及四川省关于12345热线的统一管理标准，经过不同渠道收集到的各类问题通过数字城管系统派遣至相关处置部门。</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资金主要支持人员工资发放，根据不同岗位的重要性、技能要求和市场行情，制定差异化的工资标准。对于核心岗位，提供具有竞争力的薪酬待遇，激励员工发挥最大价值。同时，设立绩效奖金制度，根据员工的工作表现和业绩完成情况进行奖励。</w:t>
      </w:r>
    </w:p>
    <w:p>
      <w:pPr>
        <w:keepNext w:val="0"/>
        <w:keepLines w:val="0"/>
        <w:widowControl w:val="0"/>
        <w:numPr>
          <w:ilvl w:val="0"/>
          <w:numId w:val="0"/>
        </w:numPr>
        <w:suppressLineNumbers w:val="0"/>
        <w:spacing w:before="0" w:beforeAutospacing="0" w:after="0" w:afterAutospacing="0"/>
        <w:ind w:leftChars="200" w:right="0" w:rightChars="0"/>
        <w:jc w:val="left"/>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（三）预算安排及分配管理</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项目预算主要聚焦于人员工资支出。经过详细的成本核算和市场调研，确定了合理的工资预算总额。在预算编制过程中，充分考虑了人员数量、岗位级别、市场薪酬水平等因素。</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资金分配原则及考虑因素：项目资金分配遵循公平、公正、合理的原则。对于人员工资分配，主要考虑岗位价值、工作绩效和市场行情等因素。岗位价值根据岗位的重要性、职责范围和对项目的贡献程度进行评估；工作绩效通过定期的绩效考核进行量化，考核指标包括工作任务完成情况、工作质量、团队协作等方面。</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按照实际情况进行支付。</w:t>
      </w:r>
    </w:p>
    <w:p>
      <w:pPr>
        <w:keepNext w:val="0"/>
        <w:keepLines w:val="0"/>
        <w:widowControl w:val="0"/>
        <w:numPr>
          <w:ilvl w:val="0"/>
          <w:numId w:val="0"/>
        </w:numPr>
        <w:suppressLineNumbers w:val="0"/>
        <w:spacing w:before="0" w:beforeAutospacing="0" w:after="0" w:afterAutospacing="0"/>
        <w:ind w:leftChars="200" w:right="0" w:rightChars="0"/>
        <w:jc w:val="left"/>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（四）项目绩效目标设置。</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1.项目整体、区域和具体绩效目标设置情况。</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通过高效准确的信息采集与及时的在线更新，全面提升城市管理的精细化，为城市的有序运行和可持续发展提供有力支持。具体表现为实现城市管理问题的快速发现、及时处理和有效监督，提高城市管理的效率和质量，改善城市环境和居民生活质量。根据不同区域的城市功能和管理需求，设置网格形成差异化的区域绩效目标。设立月度考核表多维度开展绩效评价</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2.项目自评工作开展情况。</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实施后，确定专人，定期对项目开展情况进行自评。自评内容主要包括人员管理、信息采集的数量和质量、案件派遣的及时性和准确性等方面。通过查阅系统数据、实地检查、电话评价等方式收集自评数据，并进行综合分析。根据自评结果，及时发现项目实施过程中存在的问题，并采取相应的改进措施，确保项目绩效目标的顺利实现。</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二、评价实施</w:t>
      </w:r>
    </w:p>
    <w:p>
      <w:pPr>
        <w:keepNext w:val="0"/>
        <w:keepLines w:val="0"/>
        <w:widowControl w:val="0"/>
        <w:suppressLineNumbers w:val="0"/>
        <w:spacing w:before="0" w:beforeAutospacing="0" w:after="0" w:afterAutospacing="0" w:line="578" w:lineRule="exact"/>
        <w:ind w:left="0" w:right="0" w:firstLine="64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（一）评价目的</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通过项目绩效自评，全面了解数字城管信息采集（含数据在线更新）及市级指挥平台业务服务外包项目的实施效果，检验项目绩效目标的实现程度。发现项目实施过程中存在的问题和不足，为后续项目的改进和优化提供依据。</w:t>
      </w:r>
    </w:p>
    <w:p>
      <w:pPr>
        <w:keepNext w:val="0"/>
        <w:keepLines w:val="0"/>
        <w:widowControl w:val="0"/>
        <w:suppressLineNumbers w:val="0"/>
        <w:spacing w:before="0" w:beforeAutospacing="0" w:after="0" w:afterAutospacing="0" w:line="578" w:lineRule="exact"/>
        <w:ind w:left="0" w:right="0" w:firstLine="64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（二）预设问题及评价重点</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中心有完善的财务管理制度，项目严格执行相关财务管理制度，财务均及时处理、核算项目运行的各种支出，严格执行规范。</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资金使用方面：检查资金是否专款专用，是否存在截留、挪用等违规行为。评估资金使用的合理性和有效性，分析人工成本支出是否与项目实际需求相匹配。</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信息采集与更新质量方面：评价采集信息的数量、质量和准确性，以及在线更新的及时性和有效性。检查信息采集和更新的流程是否规范，是否存在信息漏报、错报等问题。</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市级指挥平台业务服务方面：是否能依据数字城管及四川省关于12345热线的统一管理标准，快速准确的将案件通过系统派遣至相关处置部门。</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项目管理方面：考察项目管理制度是否健全，项目组织实施是否规范，项目人员配备是否合理。评估项目的风险管理能力，是否能够及时应对和解决项目实施过程中出现的各种问题。</w:t>
      </w:r>
    </w:p>
    <w:p>
      <w:pPr>
        <w:keepNext w:val="0"/>
        <w:keepLines w:val="0"/>
        <w:widowControl w:val="0"/>
        <w:suppressLineNumbers w:val="0"/>
        <w:spacing w:before="0" w:beforeAutospacing="0" w:after="0" w:afterAutospacing="0" w:line="578" w:lineRule="exact"/>
        <w:ind w:left="0" w:right="0" w:firstLine="64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（三）评价选点。</w:t>
      </w:r>
    </w:p>
    <w:p>
      <w:pPr>
        <w:keepNext w:val="0"/>
        <w:keepLines w:val="0"/>
        <w:widowControl w:val="0"/>
        <w:suppressLineNumbers w:val="0"/>
        <w:adjustRightInd w:val="0"/>
        <w:snapToGrid w:val="0"/>
        <w:spacing w:before="0" w:beforeAutospacing="0" w:after="0" w:afterAutospacing="0" w:line="578" w:lineRule="exac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 xml:space="preserve"> 无。</w:t>
      </w:r>
    </w:p>
    <w:p>
      <w:pPr>
        <w:keepNext w:val="0"/>
        <w:keepLines w:val="0"/>
        <w:widowControl w:val="0"/>
        <w:suppressLineNumbers w:val="0"/>
        <w:spacing w:before="0" w:beforeAutospacing="0" w:after="0" w:afterAutospacing="0" w:line="578" w:lineRule="exact"/>
        <w:ind w:left="0" w:right="0" w:firstLine="64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（四）评价方法</w:t>
      </w:r>
    </w:p>
    <w:p>
      <w:pPr>
        <w:keepNext w:val="0"/>
        <w:keepLines w:val="0"/>
        <w:widowControl w:val="0"/>
        <w:suppressLineNumbers w:val="0"/>
        <w:spacing w:before="0" w:beforeAutospacing="0" w:after="0" w:afterAutospacing="0"/>
        <w:ind w:left="0" w:right="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通过月度考核进行评价。</w:t>
      </w:r>
    </w:p>
    <w:p>
      <w:pPr>
        <w:keepNext w:val="0"/>
        <w:keepLines w:val="0"/>
        <w:widowControl w:val="0"/>
        <w:suppressLineNumbers w:val="0"/>
        <w:spacing w:before="0" w:beforeAutospacing="0" w:after="0" w:afterAutospacing="0" w:line="578" w:lineRule="exact"/>
        <w:ind w:left="0" w:right="0" w:firstLine="64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（五）评价组织</w:t>
      </w:r>
    </w:p>
    <w:p>
      <w:pPr>
        <w:keepNext w:val="0"/>
        <w:keepLines w:val="0"/>
        <w:widowControl w:val="0"/>
        <w:suppressLineNumbers w:val="0"/>
        <w:spacing w:before="0" w:beforeAutospacing="0" w:after="0" w:afterAutospacing="0"/>
        <w:ind w:left="0" w:right="0" w:firstLine="640" w:firstLineChars="200"/>
        <w:jc w:val="left"/>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由管理人员、财务人员、技术专家等，对项目的整体实施情况、资金的使用情况、信息采集和在线更新情况、案件的处置情况等的进行评估。</w:t>
      </w:r>
    </w:p>
    <w:p>
      <w:pPr>
        <w:keepNext w:val="0"/>
        <w:keepLines w:val="0"/>
        <w:widowControl w:val="0"/>
        <w:suppressLineNumbers w:val="0"/>
        <w:spacing w:before="0" w:beforeAutospacing="0" w:after="0" w:afterAutospacing="0"/>
        <w:ind w:left="0" w:right="0" w:firstLine="640" w:firstLineChars="20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三、绩效分析</w:t>
      </w:r>
    </w:p>
    <w:p>
      <w:pPr>
        <w:keepNext w:val="0"/>
        <w:keepLines w:val="0"/>
        <w:widowControl w:val="0"/>
        <w:suppressLineNumbers w:val="0"/>
        <w:spacing w:before="0" w:beforeAutospacing="0" w:after="0" w:afterAutospacing="0" w:line="578" w:lineRule="exact"/>
        <w:ind w:left="0" w:right="0" w:firstLine="640"/>
        <w:jc w:val="both"/>
        <w:rPr>
          <w:rFonts w:hint="eastAsia" w:ascii="仿宋_GB2312" w:eastAsia="仿宋_GB2312" w:cs="仿宋_GB2312"/>
          <w:b/>
          <w:kern w:val="2"/>
          <w:sz w:val="32"/>
          <w:szCs w:val="32"/>
        </w:rPr>
      </w:pPr>
      <w:r>
        <w:rPr>
          <w:rFonts w:hint="eastAsia" w:ascii="CESI楷体-GB2312" w:hAnsi="CESI楷体-GB2312" w:eastAsia="CESI楷体-GB2312" w:cs="CESI楷体-GB2312"/>
          <w:b/>
          <w:kern w:val="2"/>
          <w:sz w:val="32"/>
          <w:szCs w:val="32"/>
          <w:lang w:val="en-US" w:eastAsia="zh-CN" w:bidi="ar"/>
        </w:rPr>
        <w:t>（一）通用指标绩效分析</w:t>
      </w:r>
      <w:r>
        <w:rPr>
          <w:rFonts w:hint="eastAsia" w:ascii="仿宋_GB2312" w:hAnsi="Times New Roman" w:eastAsia="仿宋_GB2312" w:cs="仿宋_GB2312"/>
          <w:b/>
          <w:kern w:val="2"/>
          <w:sz w:val="32"/>
          <w:szCs w:val="32"/>
          <w:lang w:val="en-US" w:eastAsia="zh-CN" w:bidi="ar"/>
        </w:rPr>
        <w:t>。</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1.项目决策。2020年3月市城管执法局和市财政局联合向市政府上报《关于开展新一轮信息采集等业务工作相关事宜的请示》（攀城管执〔2020〕62号），并于2020年5月得到市政府批复同意。</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2.项目管理。中心监督考评部负责监管项目，并合同要求开展定期考核，并产生共计3.34万元的扣款。</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3.项目实施。《攀枝花市第四轮数字城管信息采集（含数据在线更新）及市级指挥平台业务服务外包项目》中各项业务工作运行正常有序，涉及的成都众智合能信息技术服务有限公司、政通智慧城市运营科技有限公司及四川东久科技股份有限公司在各自负责管理的项目合同包中整体服务情况良好，基本达到招标文件及合同约定相关要求，在项目服务周期内，各项考核指标达到要求，通过项目履约验收。</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4.项目结果。数字城管信息服务外包项目实施效果明显，基本实现了对城市管理问题的及时发现、处置，提升了城市管理水平，一定程度上改善了社会人居环境，为市民群众打造良好的人居环境并提供更方便、快捷的综合性服务。</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CESI楷体-GB2312" w:hAnsi="CESI楷体-GB2312" w:eastAsia="CESI楷体-GB2312" w:cs="CESI楷体-GB2312"/>
          <w:b/>
          <w:kern w:val="2"/>
          <w:sz w:val="32"/>
          <w:szCs w:val="32"/>
        </w:rPr>
      </w:pPr>
      <w:r>
        <w:rPr>
          <w:rFonts w:hint="eastAsia" w:ascii="CESI楷体-GB2312" w:hAnsi="CESI楷体-GB2312" w:eastAsia="CESI楷体-GB2312" w:cs="CESI楷体-GB2312"/>
          <w:b/>
          <w:kern w:val="2"/>
          <w:sz w:val="32"/>
          <w:szCs w:val="32"/>
          <w:lang w:val="en-US" w:eastAsia="zh-CN" w:bidi="ar"/>
        </w:rPr>
        <w:t>（二）专用指标绩效分析。</w:t>
      </w:r>
    </w:p>
    <w:p>
      <w:pPr>
        <w:keepNext w:val="0"/>
        <w:keepLines w:val="0"/>
        <w:widowControl w:val="0"/>
        <w:suppressLineNumbers w:val="0"/>
        <w:snapToGrid w:val="0"/>
        <w:spacing w:before="0" w:beforeAutospacing="0" w:after="0" w:afterAutospacing="0" w:line="600" w:lineRule="atLeas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数字城管信息服务外包项目实施效果明显，基本实现了对城市管理问题的及时发现、处置，提升了城市管理水平，一定程度上改善了社会人居环境，为市民群众打造良好的人居环境并提供更方便、快捷的综合性服务。</w:t>
      </w:r>
    </w:p>
    <w:p>
      <w:pPr>
        <w:keepNext w:val="0"/>
        <w:keepLines w:val="0"/>
        <w:widowControl w:val="0"/>
        <w:numPr>
          <w:ilvl w:val="0"/>
          <w:numId w:val="0"/>
        </w:numPr>
        <w:suppressLineNumbers w:val="0"/>
        <w:spacing w:before="0" w:beforeAutospacing="0" w:after="0" w:afterAutospacing="0" w:line="578" w:lineRule="exact"/>
        <w:ind w:left="640" w:leftChars="0" w:right="0" w:rightChars="0"/>
        <w:jc w:val="both"/>
        <w:rPr>
          <w:rFonts w:hint="eastAsia" w:ascii="CESI楷体-GB2312" w:hAnsi="CESI楷体-GB2312" w:eastAsia="CESI楷体-GB2312" w:cs="CESI楷体-GB2312"/>
          <w:b/>
          <w:color w:val="000000"/>
          <w:kern w:val="0"/>
          <w:sz w:val="32"/>
          <w:szCs w:val="32"/>
          <w:shd w:val="clear" w:fill="FFFFFF"/>
        </w:rPr>
      </w:pPr>
      <w:r>
        <w:rPr>
          <w:rFonts w:hint="eastAsia" w:ascii="CESI楷体-GB2312" w:hAnsi="CESI楷体-GB2312" w:eastAsia="CESI楷体-GB2312" w:cs="CESI楷体-GB2312"/>
          <w:b/>
          <w:kern w:val="2"/>
          <w:sz w:val="32"/>
          <w:szCs w:val="32"/>
          <w:lang w:val="en-US" w:eastAsia="zh-CN" w:bidi="ar"/>
        </w:rPr>
        <w:t>（三）个性指标</w:t>
      </w:r>
      <w:r>
        <w:rPr>
          <w:rFonts w:hint="eastAsia" w:ascii="CESI楷体-GB2312" w:hAnsi="CESI楷体-GB2312" w:eastAsia="CESI楷体-GB2312" w:cs="CESI楷体-GB2312"/>
          <w:b/>
          <w:color w:val="000000"/>
          <w:kern w:val="0"/>
          <w:sz w:val="32"/>
          <w:szCs w:val="32"/>
          <w:shd w:val="clear" w:fill="FFFFFF"/>
          <w:lang w:val="en-US" w:eastAsia="zh-CN" w:bidi="ar"/>
        </w:rPr>
        <w:t>绩效分析。</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bidi="ar"/>
        </w:rPr>
        <w:t>通过高效准确的信息采集与及时的在线更新，全面提升城市管理的精细化管理，为城市的有序运行和可持续发展提供有力支持。</w:t>
      </w:r>
    </w:p>
    <w:p>
      <w:pPr>
        <w:keepNext w:val="0"/>
        <w:keepLines w:val="0"/>
        <w:widowControl w:val="0"/>
        <w:suppressLineNumbers w:val="0"/>
        <w:spacing w:before="0" w:beforeAutospacing="0" w:after="0" w:afterAutospacing="0" w:line="578" w:lineRule="exact"/>
        <w:ind w:left="0" w:right="0" w:firstLine="64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四、评价结论</w:t>
      </w:r>
    </w:p>
    <w:p>
      <w:pPr>
        <w:keepNext w:val="0"/>
        <w:keepLines w:val="0"/>
        <w:widowControl w:val="0"/>
        <w:suppressLineNumbers w:val="0"/>
        <w:spacing w:before="0" w:beforeAutospacing="0" w:after="0" w:afterAutospacing="0" w:line="578" w:lineRule="exact"/>
        <w:ind w:left="0" w:right="0" w:firstLine="64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攀枝花市第四轮数字城管信息采集(含数据在线更新)及市级指挥平台业务服务外包项目》中各项业务工作运行正常有序，涉及的成都众智合能信息技术服务有限公司、政通智慧城市运营科技有限公司及四川东久科技股份有限公司在各自负责管理的项目合同包中整体服务情况良好，基本达到招标文件及合同约定相关要求。</w:t>
      </w:r>
    </w:p>
    <w:p>
      <w:pPr>
        <w:keepNext w:val="0"/>
        <w:keepLines w:val="0"/>
        <w:widowControl w:val="0"/>
        <w:suppressLineNumbers w:val="0"/>
        <w:spacing w:before="0" w:beforeAutospacing="0" w:after="0" w:afterAutospacing="0" w:line="578" w:lineRule="exact"/>
        <w:ind w:left="0" w:right="0" w:firstLine="64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五、存在主要问题</w:t>
      </w:r>
    </w:p>
    <w:p>
      <w:pPr>
        <w:keepNext w:val="0"/>
        <w:keepLines w:val="0"/>
        <w:widowControl w:val="0"/>
        <w:suppressLineNumbers w:val="0"/>
        <w:adjustRightInd w:val="0"/>
        <w:snapToGrid w:val="0"/>
        <w:spacing w:before="0" w:beforeAutospacing="0" w:after="0" w:afterAutospacing="0" w:line="560" w:lineRule="exact"/>
        <w:ind w:left="0" w:right="0" w:firstLine="720"/>
        <w:jc w:val="both"/>
        <w:rPr>
          <w:rFonts w:hint="eastAsia" w:ascii="仿宋_GB2312" w:eastAsia="仿宋_GB2312" w:cs="仿宋_GB2312"/>
          <w:color w:val="000000"/>
          <w:kern w:val="2"/>
          <w:sz w:val="32"/>
          <w:szCs w:val="32"/>
        </w:rPr>
      </w:pPr>
      <w:r>
        <w:rPr>
          <w:rFonts w:hint="eastAsia" w:ascii="仿宋_GB2312" w:hAnsi="Times New Roman" w:eastAsia="仿宋_GB2312" w:cs="仿宋_GB2312"/>
          <w:color w:val="000000"/>
          <w:kern w:val="2"/>
          <w:sz w:val="32"/>
          <w:szCs w:val="32"/>
          <w:lang w:val="en-US" w:eastAsia="zh-CN" w:bidi="ar"/>
        </w:rPr>
        <w:t>该项目目前已实施完毕，并通过了履约验收，但资金拨付严重滞后，项目外包单位通过起诉等方式要求我单位支付项目欠款。下一步，我中心将加强与财政的沟通，全面实施预算绩效管理， 实现预算和绩效管理一体化，着力提升财政资源配置效率和使用效益。</w:t>
      </w:r>
      <w:r>
        <w:rPr>
          <w:rFonts w:hint="eastAsia" w:ascii="仿宋_GB2312" w:hAnsi="Times New Roman" w:eastAsia="仿宋_GB2312" w:cs="仿宋_GB2312"/>
          <w:color w:val="000000"/>
          <w:kern w:val="2"/>
          <w:sz w:val="32"/>
          <w:szCs w:val="32"/>
          <w:lang w:val="en-US" w:eastAsia="zh-CN" w:bidi="ar"/>
        </w:rPr>
        <w:tab/>
      </w:r>
    </w:p>
    <w:p>
      <w:pPr>
        <w:keepNext w:val="0"/>
        <w:keepLines w:val="0"/>
        <w:widowControl w:val="0"/>
        <w:suppressLineNumbers w:val="0"/>
        <w:spacing w:before="0" w:beforeAutospacing="0" w:after="0" w:afterAutospacing="0" w:line="578" w:lineRule="exact"/>
        <w:ind w:left="0" w:right="0" w:firstLine="64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六、改进建议</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无。</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default" w:ascii="Times New Roman" w:hAnsi="Times New Roman" w:eastAsia="仿宋_GB2312" w:cs="Times New Roman"/>
          <w:kern w:val="2"/>
          <w:sz w:val="32"/>
          <w:szCs w:val="32"/>
        </w:rPr>
      </w:pPr>
    </w:p>
    <w:p/>
    <w:p>
      <w:pPr>
        <w:widowControl/>
        <w:jc w:val="center"/>
        <w:rPr>
          <w:rFonts w:hint="eastAsia" w:ascii="Times New Roman" w:hAnsi="Times New Roman" w:eastAsia="黑体"/>
          <w:color w:val="auto"/>
          <w:sz w:val="44"/>
          <w:szCs w:val="44"/>
          <w:highlight w:val="none"/>
        </w:rPr>
      </w:pPr>
    </w:p>
    <w:p>
      <w:pPr>
        <w:pStyle w:val="15"/>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pStyle w:val="8"/>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7"/>
      <w:bookmarkEnd w:id="61"/>
      <w:bookmarkStart w:id="62"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2"/>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0"/>
      <w:r>
        <w:rPr>
          <w:rFonts w:hint="eastAsia" w:ascii="Times New Roman" w:hAnsi="Times New Roman" w:eastAsia="仿宋_GB2312" w:cs="仿宋_GB2312"/>
          <w:color w:val="auto"/>
          <w:sz w:val="32"/>
          <w:szCs w:val="32"/>
          <w:highlight w:val="none"/>
        </w:rPr>
        <w:t>二、收入决算表</w:t>
      </w:r>
      <w:bookmarkEnd w:id="63"/>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1"/>
      <w:r>
        <w:rPr>
          <w:rFonts w:hint="eastAsia" w:ascii="Times New Roman" w:hAnsi="Times New Roman" w:eastAsia="仿宋_GB2312" w:cs="仿宋_GB2312"/>
          <w:color w:val="auto"/>
          <w:sz w:val="32"/>
          <w:szCs w:val="32"/>
          <w:highlight w:val="none"/>
        </w:rPr>
        <w:t>三、支出决算表</w:t>
      </w:r>
      <w:bookmarkEnd w:id="6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2"/>
      <w:r>
        <w:rPr>
          <w:rFonts w:hint="eastAsia" w:ascii="Times New Roman" w:hAnsi="Times New Roman" w:eastAsia="仿宋_GB2312" w:cs="仿宋_GB2312"/>
          <w:color w:val="auto"/>
          <w:sz w:val="32"/>
          <w:szCs w:val="32"/>
          <w:highlight w:val="none"/>
        </w:rPr>
        <w:t>四、财政拨款收入支出决算总表</w:t>
      </w:r>
      <w:bookmarkEnd w:id="65"/>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3"/>
      <w:r>
        <w:rPr>
          <w:rFonts w:hint="eastAsia" w:ascii="Times New Roman" w:hAnsi="Times New Roman" w:eastAsia="仿宋_GB2312" w:cs="仿宋_GB2312"/>
          <w:color w:val="auto"/>
          <w:sz w:val="32"/>
          <w:szCs w:val="32"/>
          <w:highlight w:val="none"/>
        </w:rPr>
        <w:t>五、财政拨款支出决算明细表</w:t>
      </w:r>
      <w:bookmarkEnd w:id="66"/>
      <w:bookmarkStart w:id="67"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7"/>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5"/>
      <w:r>
        <w:rPr>
          <w:rFonts w:hint="eastAsia" w:ascii="Times New Roman" w:hAnsi="Times New Roman" w:eastAsia="仿宋_GB2312" w:cs="仿宋_GB2312"/>
          <w:color w:val="auto"/>
          <w:sz w:val="32"/>
          <w:szCs w:val="32"/>
          <w:highlight w:val="none"/>
        </w:rPr>
        <w:t>七、一般公共预算财政拨款支出决算明细表</w:t>
      </w:r>
      <w:bookmarkEnd w:id="68"/>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6"/>
      <w:r>
        <w:rPr>
          <w:rFonts w:hint="eastAsia" w:ascii="Times New Roman" w:hAnsi="Times New Roman" w:eastAsia="仿宋_GB2312" w:cs="仿宋_GB2312"/>
          <w:color w:val="auto"/>
          <w:sz w:val="32"/>
          <w:szCs w:val="32"/>
          <w:highlight w:val="none"/>
        </w:rPr>
        <w:t>八、一般公共预算财政拨款基本支出决算表</w:t>
      </w:r>
      <w:bookmarkEnd w:id="6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7"/>
      <w:r>
        <w:rPr>
          <w:rFonts w:hint="eastAsia" w:ascii="Times New Roman" w:hAnsi="Times New Roman" w:eastAsia="仿宋_GB2312" w:cs="仿宋_GB2312"/>
          <w:color w:val="auto"/>
          <w:sz w:val="32"/>
          <w:szCs w:val="32"/>
          <w:highlight w:val="none"/>
        </w:rPr>
        <w:t>九、一般公共预算财政拨款项目支出决算表</w:t>
      </w:r>
      <w:bookmarkEnd w:id="70"/>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8"/>
      <w:r>
        <w:rPr>
          <w:rFonts w:hint="eastAsia" w:ascii="Times New Roman" w:hAnsi="Times New Roman" w:eastAsia="仿宋_GB2312" w:cs="仿宋_GB2312"/>
          <w:color w:val="auto"/>
          <w:sz w:val="32"/>
          <w:szCs w:val="32"/>
          <w:highlight w:val="none"/>
        </w:rPr>
        <w:t>十、</w:t>
      </w:r>
      <w:bookmarkEnd w:id="71"/>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9"/>
      <w:r>
        <w:rPr>
          <w:rFonts w:hint="eastAsia" w:ascii="Times New Roman" w:hAnsi="Times New Roman" w:eastAsia="仿宋_GB2312" w:cs="仿宋_GB2312"/>
          <w:color w:val="auto"/>
          <w:sz w:val="32"/>
          <w:szCs w:val="32"/>
          <w:highlight w:val="none"/>
        </w:rPr>
        <w:t>十一、</w:t>
      </w:r>
      <w:bookmarkEnd w:id="7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30"/>
      <w:r>
        <w:rPr>
          <w:rFonts w:hint="eastAsia" w:ascii="Times New Roman" w:hAnsi="Times New Roman" w:eastAsia="仿宋_GB2312" w:cs="仿宋_GB2312"/>
          <w:color w:val="auto"/>
          <w:sz w:val="32"/>
          <w:szCs w:val="32"/>
          <w:highlight w:val="none"/>
        </w:rPr>
        <w:t>十二、</w:t>
      </w:r>
      <w:bookmarkEnd w:id="73"/>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4" w:name="_Toc15396631"/>
      <w:r>
        <w:rPr>
          <w:rFonts w:hint="eastAsia" w:ascii="Times New Roman" w:hAnsi="Times New Roman" w:eastAsia="仿宋_GB2312" w:cs="仿宋_GB2312"/>
          <w:color w:val="auto"/>
          <w:sz w:val="32"/>
          <w:szCs w:val="32"/>
          <w:highlight w:val="none"/>
        </w:rPr>
        <w:t>十三、</w:t>
      </w:r>
      <w:bookmarkEnd w:id="74"/>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nOWb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2c5ZsdAgAAKw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4Kgg7HQIAACs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85ISzRRmdPr65fTtx+n7&#10;Z4I3ANRaP4PfxsIzdK9NV9Dg9mIwebzH1rvKqXijKQIXoH28ICy6QDgex9PJdJrDxGEbFKTIrt+t&#10;8+GNMIpEoaAOI0zIssPah7Pr4BKzabNqpExjlJq0Bb29eZ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gqCDsdAgAAKw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6O6HHQIAACs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ro7ocdAgAAKwQAAA4AAAAAAAAAAQAgAAAANQ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DC115F"/>
    <w:multiLevelType w:val="multilevel"/>
    <w:tmpl w:val="CEDC115F"/>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36EF1C5F"/>
    <w:multiLevelType w:val="multilevel"/>
    <w:tmpl w:val="36EF1C5F"/>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3CFC2469"/>
    <w:multiLevelType w:val="multilevel"/>
    <w:tmpl w:val="3CFC2469"/>
    <w:lvl w:ilvl="0" w:tentative="0">
      <w:start w:val="3"/>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HorizontalSpacing w:val="105"/>
  <w:drawingGridVerticalSpacing w:val="156"/>
  <w:displayHorizontalDrawingGridEvery w:val="0"/>
  <w:displayVerticalDrawingGridEvery w:val="2"/>
  <w:doNotUseMarginsForDrawingGridOrigin w:val="true"/>
  <w:drawingGridHorizontalOrigin w:val="0"/>
  <w:drawingGridVerticalOrigin w:val="0"/>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5FA7D7"/>
    <w:rsid w:val="1FEBB662"/>
    <w:rsid w:val="1FF35744"/>
    <w:rsid w:val="1FF6BC77"/>
    <w:rsid w:val="2186353C"/>
    <w:rsid w:val="23860B96"/>
    <w:rsid w:val="240371BF"/>
    <w:rsid w:val="244F3473"/>
    <w:rsid w:val="24C97D99"/>
    <w:rsid w:val="25A718F0"/>
    <w:rsid w:val="25BB59F6"/>
    <w:rsid w:val="25F20632"/>
    <w:rsid w:val="260F557C"/>
    <w:rsid w:val="26970054"/>
    <w:rsid w:val="27DFEAE9"/>
    <w:rsid w:val="281408E2"/>
    <w:rsid w:val="29FD04D3"/>
    <w:rsid w:val="2AFF7159"/>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CFF1CF"/>
    <w:rsid w:val="3DEE7CF3"/>
    <w:rsid w:val="3DF7253A"/>
    <w:rsid w:val="3E740A63"/>
    <w:rsid w:val="3E78745D"/>
    <w:rsid w:val="3EE17838"/>
    <w:rsid w:val="3F55381A"/>
    <w:rsid w:val="3F7F7599"/>
    <w:rsid w:val="3FCF13DE"/>
    <w:rsid w:val="3FED4706"/>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9FF2AA"/>
    <w:rsid w:val="5BDD79E6"/>
    <w:rsid w:val="5BF561CA"/>
    <w:rsid w:val="5BFF48A3"/>
    <w:rsid w:val="5BFF5DFC"/>
    <w:rsid w:val="5CD71FC4"/>
    <w:rsid w:val="5D1F11B5"/>
    <w:rsid w:val="5D695134"/>
    <w:rsid w:val="5DAE1B18"/>
    <w:rsid w:val="5DE7D9E5"/>
    <w:rsid w:val="5E5730E6"/>
    <w:rsid w:val="5ECEC941"/>
    <w:rsid w:val="5F7B06DA"/>
    <w:rsid w:val="5FBF9FF3"/>
    <w:rsid w:val="5FCD4E2C"/>
    <w:rsid w:val="5FEF394A"/>
    <w:rsid w:val="5FF67715"/>
    <w:rsid w:val="61BD6152"/>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6FFF2522"/>
    <w:rsid w:val="70484440"/>
    <w:rsid w:val="712A28F1"/>
    <w:rsid w:val="715C0E4B"/>
    <w:rsid w:val="71992E7C"/>
    <w:rsid w:val="71DD63EA"/>
    <w:rsid w:val="71FF17C6"/>
    <w:rsid w:val="72233669"/>
    <w:rsid w:val="72734D90"/>
    <w:rsid w:val="73160E6D"/>
    <w:rsid w:val="7332FE48"/>
    <w:rsid w:val="737752C5"/>
    <w:rsid w:val="73AB61DA"/>
    <w:rsid w:val="73AD73D5"/>
    <w:rsid w:val="73B6EB34"/>
    <w:rsid w:val="73FA497D"/>
    <w:rsid w:val="744731E5"/>
    <w:rsid w:val="74BBD01D"/>
    <w:rsid w:val="74ED5379"/>
    <w:rsid w:val="753C2F8A"/>
    <w:rsid w:val="75DEEEC2"/>
    <w:rsid w:val="75E32345"/>
    <w:rsid w:val="76E3355F"/>
    <w:rsid w:val="76EFB451"/>
    <w:rsid w:val="76FF5125"/>
    <w:rsid w:val="776F6FFA"/>
    <w:rsid w:val="777D770E"/>
    <w:rsid w:val="778769C8"/>
    <w:rsid w:val="77A75DCA"/>
    <w:rsid w:val="77DC22F5"/>
    <w:rsid w:val="77FBF76E"/>
    <w:rsid w:val="783E271A"/>
    <w:rsid w:val="78616DE9"/>
    <w:rsid w:val="78E875D7"/>
    <w:rsid w:val="79086DAD"/>
    <w:rsid w:val="79D7FD79"/>
    <w:rsid w:val="79EE5BA4"/>
    <w:rsid w:val="7A894339"/>
    <w:rsid w:val="7AD284E8"/>
    <w:rsid w:val="7AFF7572"/>
    <w:rsid w:val="7B6C7DFB"/>
    <w:rsid w:val="7BBFBED0"/>
    <w:rsid w:val="7BC3E394"/>
    <w:rsid w:val="7BE2F43B"/>
    <w:rsid w:val="7BFBC7E7"/>
    <w:rsid w:val="7C1F3737"/>
    <w:rsid w:val="7CBFC87B"/>
    <w:rsid w:val="7CFE0F48"/>
    <w:rsid w:val="7D272ABC"/>
    <w:rsid w:val="7D7EC23E"/>
    <w:rsid w:val="7DF3165F"/>
    <w:rsid w:val="7E7F0B1E"/>
    <w:rsid w:val="7E8ADEBF"/>
    <w:rsid w:val="7E9947E0"/>
    <w:rsid w:val="7EEF11D3"/>
    <w:rsid w:val="7EFE4840"/>
    <w:rsid w:val="7EFF682A"/>
    <w:rsid w:val="7F0971A6"/>
    <w:rsid w:val="7F1D62E7"/>
    <w:rsid w:val="7F3F679B"/>
    <w:rsid w:val="7F4FC4EF"/>
    <w:rsid w:val="7F5E4D54"/>
    <w:rsid w:val="7F6E0135"/>
    <w:rsid w:val="7F79F205"/>
    <w:rsid w:val="7FA30C79"/>
    <w:rsid w:val="7FA79C44"/>
    <w:rsid w:val="7FAF8ABF"/>
    <w:rsid w:val="7FB7269E"/>
    <w:rsid w:val="7FC96657"/>
    <w:rsid w:val="7FDA9588"/>
    <w:rsid w:val="7FDF220F"/>
    <w:rsid w:val="7FDFB0CD"/>
    <w:rsid w:val="7FEDC5F7"/>
    <w:rsid w:val="7FEDD9DE"/>
    <w:rsid w:val="7FF5890D"/>
    <w:rsid w:val="7FF93490"/>
    <w:rsid w:val="8DF6F901"/>
    <w:rsid w:val="99FF2014"/>
    <w:rsid w:val="A6DD0D7F"/>
    <w:rsid w:val="ACFF4FBB"/>
    <w:rsid w:val="ADC6F725"/>
    <w:rsid w:val="ADF7F7FF"/>
    <w:rsid w:val="B1DF0367"/>
    <w:rsid w:val="B58E6E62"/>
    <w:rsid w:val="B6F7FA19"/>
    <w:rsid w:val="B7CF06AB"/>
    <w:rsid w:val="B7CFA926"/>
    <w:rsid w:val="B7F8786B"/>
    <w:rsid w:val="B7FFB1DF"/>
    <w:rsid w:val="BABB6AA1"/>
    <w:rsid w:val="BB2F4199"/>
    <w:rsid w:val="BCFFB442"/>
    <w:rsid w:val="BD079C78"/>
    <w:rsid w:val="BD733540"/>
    <w:rsid w:val="BE7FB697"/>
    <w:rsid w:val="BF3735D5"/>
    <w:rsid w:val="BF3D8CD5"/>
    <w:rsid w:val="BF6DFD63"/>
    <w:rsid w:val="BF7F09AC"/>
    <w:rsid w:val="BFB7E294"/>
    <w:rsid w:val="BFD475C3"/>
    <w:rsid w:val="BFDE5EA6"/>
    <w:rsid w:val="CE7E038A"/>
    <w:rsid w:val="CF6FC6F3"/>
    <w:rsid w:val="CFD3D3D7"/>
    <w:rsid w:val="CFDF1009"/>
    <w:rsid w:val="D36FF594"/>
    <w:rsid w:val="D6BBA2BB"/>
    <w:rsid w:val="D73E8A35"/>
    <w:rsid w:val="D7D7B16A"/>
    <w:rsid w:val="D8D6DB89"/>
    <w:rsid w:val="DB6F4CAB"/>
    <w:rsid w:val="DB777682"/>
    <w:rsid w:val="DB9FEB0C"/>
    <w:rsid w:val="DD1FB521"/>
    <w:rsid w:val="DE751F70"/>
    <w:rsid w:val="DEFBFEAE"/>
    <w:rsid w:val="DF1F3B80"/>
    <w:rsid w:val="DF6F9789"/>
    <w:rsid w:val="DFAFFC41"/>
    <w:rsid w:val="DFB759EB"/>
    <w:rsid w:val="DFE9BE81"/>
    <w:rsid w:val="DFEFC131"/>
    <w:rsid w:val="DFFFA9E8"/>
    <w:rsid w:val="E5F4E9DC"/>
    <w:rsid w:val="E70FE695"/>
    <w:rsid w:val="E75FDAF2"/>
    <w:rsid w:val="EAFF4C8C"/>
    <w:rsid w:val="EB2E368B"/>
    <w:rsid w:val="EBB4C653"/>
    <w:rsid w:val="ECFED1BC"/>
    <w:rsid w:val="ED1D69BB"/>
    <w:rsid w:val="ED7FD312"/>
    <w:rsid w:val="EF2E1AC6"/>
    <w:rsid w:val="EF53993F"/>
    <w:rsid w:val="EF6FD633"/>
    <w:rsid w:val="EFBFB2F4"/>
    <w:rsid w:val="EFBFFA21"/>
    <w:rsid w:val="F2BEBCB8"/>
    <w:rsid w:val="F36FB518"/>
    <w:rsid w:val="F3DE1A04"/>
    <w:rsid w:val="F3F722E5"/>
    <w:rsid w:val="F4FBCD07"/>
    <w:rsid w:val="F54BB7A5"/>
    <w:rsid w:val="F7AD7267"/>
    <w:rsid w:val="F8466CFA"/>
    <w:rsid w:val="F84F61B2"/>
    <w:rsid w:val="F9FEF3EA"/>
    <w:rsid w:val="FA5F1E70"/>
    <w:rsid w:val="FA5FDB97"/>
    <w:rsid w:val="FB7F486A"/>
    <w:rsid w:val="FBFF5B2E"/>
    <w:rsid w:val="FBFFD2F8"/>
    <w:rsid w:val="FD7FFE2B"/>
    <w:rsid w:val="FDC9A921"/>
    <w:rsid w:val="FDEE196B"/>
    <w:rsid w:val="FDFE6575"/>
    <w:rsid w:val="FEDFDDC2"/>
    <w:rsid w:val="FEE71EE0"/>
    <w:rsid w:val="FEED32F6"/>
    <w:rsid w:val="FEEDDACA"/>
    <w:rsid w:val="FEF6072C"/>
    <w:rsid w:val="FEF781DD"/>
    <w:rsid w:val="FF3DF8B8"/>
    <w:rsid w:val="FF3F7E3F"/>
    <w:rsid w:val="FF6D03C7"/>
    <w:rsid w:val="FFAE1178"/>
    <w:rsid w:val="FFBA12D7"/>
    <w:rsid w:val="FFCBD314"/>
    <w:rsid w:val="FFDDFF5A"/>
    <w:rsid w:val="FFDFF91C"/>
    <w:rsid w:val="FFDFFAEE"/>
    <w:rsid w:val="FFEF6777"/>
    <w:rsid w:val="FFF9B57B"/>
    <w:rsid w:val="FFFD61D9"/>
    <w:rsid w:val="FFFD8F59"/>
    <w:rsid w:val="FFFE98E8"/>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keepNext w:val="0"/>
      <w:keepLines w:val="0"/>
      <w:widowControl w:val="0"/>
      <w:suppressLineNumbers w:val="0"/>
      <w:spacing w:before="0" w:beforeAutospacing="0" w:after="120" w:afterAutospacing="0" w:line="240" w:lineRule="auto"/>
      <w:ind w:left="420" w:leftChars="200" w:firstLine="200" w:firstLineChars="200"/>
      <w:jc w:val="both"/>
    </w:pPr>
    <w:rPr>
      <w:rFonts w:hint="eastAsia" w:ascii="仿宋_GB2312" w:hAnsi="宋体" w:eastAsia="宋体" w:cs="仿宋_GB2312"/>
      <w:kern w:val="2"/>
      <w:sz w:val="21"/>
      <w:szCs w:val="32"/>
      <w:lang w:val="en-US" w:eastAsia="zh-CN" w:bidi="ar"/>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0"/>
    <w:rPr>
      <w:rFonts w:ascii="宋体" w:hAnsi="Courier New" w:eastAsia="宋体"/>
      <w:sz w:val="21"/>
      <w:szCs w:val="24"/>
    </w:r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8"/>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semiHidden/>
    <w:unhideWhenUsed/>
    <w:qFormat/>
    <w:uiPriority w:val="99"/>
    <w:pPr>
      <w:keepNext w:val="0"/>
      <w:keepLines w:val="0"/>
      <w:widowControl w:val="0"/>
      <w:suppressLineNumbers w:val="0"/>
      <w:spacing w:before="0" w:beforeAutospacing="0" w:after="0" w:afterAutospacing="0" w:line="240" w:lineRule="auto"/>
      <w:ind w:left="0" w:right="0" w:firstLine="0"/>
      <w:jc w:val="both"/>
    </w:pPr>
    <w:rPr>
      <w:rFonts w:hint="default" w:ascii="Times New Roman" w:hAnsi="Times New Roman" w:eastAsia="宋体" w:cs="Times New Roman"/>
      <w:kern w:val="2"/>
      <w:sz w:val="24"/>
      <w:szCs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9"/>
    <w:link w:val="3"/>
    <w:qFormat/>
    <w:uiPriority w:val="9"/>
    <w:rPr>
      <w:rFonts w:ascii="Times New Roman" w:hAnsi="Times New Roman"/>
      <w:b/>
      <w:bCs/>
      <w:kern w:val="44"/>
      <w:sz w:val="44"/>
      <w:szCs w:val="44"/>
    </w:rPr>
  </w:style>
  <w:style w:type="character" w:customStyle="1" w:styleId="31">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9"/>
    <w:link w:val="11"/>
    <w:semiHidden/>
    <w:qFormat/>
    <w:uiPriority w:val="99"/>
    <w:rPr>
      <w:rFonts w:ascii="Times New Roman" w:hAnsi="Times New Roman"/>
      <w:kern w:val="2"/>
      <w:sz w:val="18"/>
      <w:szCs w:val="18"/>
    </w:rPr>
  </w:style>
  <w:style w:type="character" w:customStyle="1" w:styleId="34">
    <w:name w:val="标题 3 Char"/>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normal"/>
    <w:basedOn w:val="1"/>
    <w:qFormat/>
    <w:uiPriority w:val="0"/>
    <w:pPr>
      <w:keepNext w:val="0"/>
      <w:keepLines w:val="0"/>
      <w:widowControl/>
      <w:suppressLineNumbers w:val="0"/>
      <w:spacing w:before="0" w:beforeAutospacing="1" w:after="0" w:afterAutospacing="1"/>
      <w:jc w:val="left"/>
    </w:pPr>
    <w:rPr>
      <w:rFonts w:hint="eastAsia" w:ascii="宋体" w:hAnsi="宋体" w:eastAsia="仿宋_GB2312"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1299</Words>
  <Characters>7410</Characters>
  <Lines>1</Lines>
  <Paragraphs>1</Paragraphs>
  <TotalTime>3</TotalTime>
  <ScaleCrop>false</ScaleCrop>
  <LinksUpToDate>false</LinksUpToDate>
  <CharactersWithSpaces>8692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2020-08-13T17:49:00Z</dcterms:created>
  <dc:creator>曹颖</dc:creator>
  <cp:lastModifiedBy>user</cp:lastModifiedBy>
  <cp:lastPrinted>2025-08-11T01:34:00Z</cp:lastPrinted>
  <dcterms:modified xsi:type="dcterms:W3CDTF">2026-09-14T11:01:38Z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